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FPackV — Anforderungen an EG-Düngemittel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Anforderungen an Fertigpackungen mit EG-Düngemitteln richten sich nach Artikel 9 Absatz 1 Buchstabe a Spiegelstrich 9 bis 11 Buchstabe b zweiter Unterabsatz und den Artikeln 10 und 11 der Verordnung (EG) Nr. 2003/2003 des Europäischen Parlaments und des Rates vom 13. Oktober 2003 über Düngemittel (ABl. L 304 vom 21.11.2003, S. 1), soweit nachstehend keine Ergänzungen im Rahmen der Durchführung der Verordnung (EG) Nr. 2003/2003 bestimmt sind.</w:t>
      </w:r>
    </w:p>
    <w:p>
      <w:r>
        <w:t xml:space="preserve">(2) EG-Düngemittel dürfen über die Anforderungen des Artikels 9 Absatz 1 Buchstabe a Spiegelstrich 9 bis 11, Artikel 10 Absatz 1 und 2 und Artikel 11 der Verordnung (EG) Nr. 2003/2003 hinaus nur durch den Hersteller nach Artikel 2 Buchstabe x der Verordnung (EG) Nr. 2003/2003 in den Geltungsbereich des Mess- und Eichgesetzes verbracht, in den Verkehr gebracht oder sonst auf dem Markt bereitgestellt werden, wenn</w:t>
      </w:r>
    </w:p>
    <w:p>
      <w:pPr>
        <w:ind w:left="420"/>
      </w:pPr>
      <w:r>
        <w:t xml:space="preserve">1. die Nennfüllmenge die Anforderungen des § 9 erfüllt und</w:t>
      </w:r>
    </w:p>
    <w:p>
      <w:pPr>
        <w:ind w:left="420"/>
      </w:pPr>
      <w:r>
        <w:t xml:space="preserve">2. die Kontroll- und Dokumentationspflichten des § 41 eingehalten werden.</w:t>
      </w:r>
    </w:p>
    <w:p>
      <w:r>
        <w:t xml:space="preserve">(3) Für nach Gewicht oder Volumen gekennzeichnete EG-Düngemittel sind die §§ 11, 34 Absatz 5 und § 42 entsprechend anzuwenden.</w:t>
      </w:r>
    </w:p>
    <w:p>
      <w:r>
        <w:rPr>
          <w:color w:val="555555"/>
          <w:sz w:val="17"/>
        </w:rPr>
        <w:t xml:space="preserve">Zitiervorschlag: § 12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