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FPackV — ℮-Zeichen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Das Zeichen „℮“ in der in Anhang II Nummer 3 der Richtlinie 2009/34/EG des Europäischen Parlaments und des Rates vom 23. April 2009 betreffend gemeinsame Vorschriften über Messgeräte sowie über Mess- und Prüfverfahren (Neufassung) (ABl. L 106 vom 28.4.2009, S. 7) dargestellten Form darf nur aufgebracht werden, wenn die Anforderungen der §§ 4, 6, 8, 9, 10 Absatz 5 und der §§ 38, 41 und 42 erfüllt sind. Ist neben der Nennfüllmenge auch das Abtropfgewicht anzugeben, so bezieht sich das Zeichen nur auf die Nennfüllmenge.</w:t>
      </w:r>
    </w:p>
    <w:p>
      <w:r>
        <w:t xml:space="preserve">(2) Das Zeichen muss in einer Größe von mindestens 3 Millimeter Höhe und im gleichen Sichtfeld wie die Angabe der Nennfüllmenge aufgebracht werden.</w:t>
      </w:r>
    </w:p>
    <w:p>
      <w:r>
        <w:rPr>
          <w:color w:val="555555"/>
          <w:sz w:val="17"/>
        </w:rPr>
        <w:t xml:space="preserve">Zitiervorschlag: § 11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