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FPackV — Besondere Nennfüllmengenanforderungen</w:t>
      </w:r>
    </w:p>
    <w:p>
      <w:r>
        <w:rPr>
          <w:color w:val="555555"/>
          <w:sz w:val="18"/>
        </w:rPr>
        <w:t xml:space="preserve">Fertigpackungsverordnung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(1) Mit dem Abtropfgewicht gekennzeichnete Fertigpackungen dürfen nur so hergestellt werden, dass der nach Anlage 3 Nummer 6 festgestellte Mittelwert das angegebene Abtropfgewicht nicht unterschreitet.</w:t>
      </w:r>
    </w:p>
    <w:p>
      <w:r>
        <w:t xml:space="preserve">(2) Mit dem Abtropfgewicht gekennzeichnete Fertigpackungen dürfen nur in den Geltungsbereich des Mess- und Eichgesetzes verbracht werden, wenn der nach Anlage 3 Nummer 6 festgestellte Mittelwert das angegebene Abtropfgewicht nicht unterschreitet.</w:t>
      </w:r>
    </w:p>
    <w:p>
      <w:r>
        <w:t xml:space="preserve">(3) Mit dem Abtropfgewicht gekennzeichnete Fertigpackungen dürfen nur in den Verkehr gebracht oder sonst auf dem Markt bereitgestellt werden, wenn die Anforderungen des § 9 Absatz 4 erfüllt sind. Abweichend von Satz 1 bestimmen sich bei Fertigpackungen, die überwiegend von Hand hergestellt werden oder natürlich gewachsene Lebensmittel enthalten, die Anforderungen nach dem Dreifachen der in der zweiten und dritten Spalte der Tabelle des § 9 Absatz 3 festgelegten Werte der zulässigen Minusabweichung.</w:t>
      </w:r>
    </w:p>
    <w:p>
      <w:r>
        <w:t xml:space="preserve">(4) Bei Fertigpackungen mit glasierten Lebensmitteln darf das Überzugsmittel nicht in der angegebenen Nennfüllmenge des Lebensmittels enthalten sein.</w:t>
      </w:r>
    </w:p>
    <w:p>
      <w:r>
        <w:t xml:space="preserve">(5) Für Fertigpackungen mit gefrorenem oder tiefgefrorenem Geflügelfleisch nach Artikel 9 der Verordnung (EG) Nr. 543/2008 der Kommission vom 16. Juni 2008 mit Durchführungsvorschriften zur Verordnung (EG) Nr. 1234/2007 des Rates hinsichtlich der Vermarktungsnormen für Geflügelfleisch (ABl. L 157 vom 17.6.2008, S. 46), die zuletzt durch die Verordnung (EU) Nr. 519/2013 der Kommission vom 21. Februar 2013 (ABl. L 158 vom 10.6.2013, S. 74) geändert worden ist, gelten die dort in Artikel 9 Absatz 4 festgelegten Füllmengenanforderungen.</w:t>
      </w:r>
    </w:p>
    <w:p>
      <w:r>
        <w:rPr>
          <w:color w:val="555555"/>
          <w:sz w:val="17"/>
        </w:rPr>
        <w:t xml:space="preserve">Zitiervorschlag: § 10 FPackV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https://recht.nulegal.eu/gesetze/FPackV/10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