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FPackV — Anwendungsbereich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Diese Verordnung gilt für Fertigpackungen gleicher und ungleicher Nennfüllmenge, Maßbehältnisse und andere Verkaufseinheiten. Sie regelt insbesondere Kennzeichnungen nach den Größen Gewicht, Volumen, Länge, Fläche oder Stückzahl.</w:t>
      </w:r>
    </w:p>
    <w:p>
      <w:r>
        <w:t xml:space="preserve">(2) § 43 Absatz 1 des Mess- und Eichgesetzes und diese Verordnung gelten nicht für</w:t>
      </w:r>
    </w:p>
    <w:p>
      <w:pPr>
        <w:ind w:left="420"/>
      </w:pPr>
      <w:r>
        <w:t xml:space="preserve">1. Fertigpackungen, deren Nennfüllmenge nach Fläche oder Stück gekennzeichnet ist und die an Endverbraucher abgegeben werden, die diese Fertigpackungen in ihrer selbstständigen beruflichen oder gewerblichen Tätigkeit für sich verwenden,</w:t>
      </w:r>
    </w:p>
    <w:p>
      <w:pPr>
        <w:ind w:left="420"/>
      </w:pPr>
      <w:r>
        <w:t xml:space="preserve">2. Gratisproben,</w:t>
      </w:r>
    </w:p>
    <w:p>
      <w:pPr>
        <w:ind w:left="420"/>
      </w:pPr>
      <w:r>
        <w:t xml:space="preserve">3. Fertigpackungen, die zum Verbringen aus dem Geltungsbereich des Mess- und Eichgesetzes oder für die Ausrüstung von Seeschiffen bestimmt sind, ausgenommen Fertigpackungen mit dem ℮-Zeichen nach § 11,</w:t>
      </w:r>
    </w:p>
    <w:p>
      <w:pPr>
        <w:ind w:left="420"/>
      </w:pPr>
      <w:r>
        <w:t xml:space="preserve">4. konformitätsbewertete oder geeichte Maßverkörperungen oder</w:t>
      </w:r>
    </w:p>
    <w:p>
      <w:pPr>
        <w:ind w:left="420"/>
      </w:pPr>
      <w:r>
        <w:t xml:space="preserve">5. Fertigpackungen mit Erzeugnissen nach Anlage 1, die in Duty-free-Geschäften für den Verzehr außerhalb der Europäischen Union verkauft werden.</w:t>
      </w:r>
    </w:p>
    <w:p>
      <w:r>
        <w:rPr>
          <w:color w:val="555555"/>
          <w:sz w:val="17"/>
        </w:rPr>
        <w:t xml:space="preserve">Zitiervorschlag: § 1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