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FPV (Brandenburg) — Inkrafttreten</w:t>
      </w:r>
    </w:p>
    <w:p>
      <w:r>
        <w:rPr>
          <w:color w:val="555555"/>
          <w:sz w:val="18"/>
        </w:rPr>
        <w:t xml:space="preserve">Flächenpoolverordnung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</w:t>
      </w:r>
    </w:p>
    <w:p>
      <w:r>
        <w:t xml:space="preserve">Verordnung tritt am Tag nach der Verkündung in Kraft.</w:t>
      </w:r>
    </w:p>
    <w:p>
      <w:r>
        <w:t xml:space="preserve">Potsdam, den</w:t>
      </w:r>
    </w:p>
    <w:p>
      <w:r>
        <w:t xml:space="preserve">24. Februar 2009</w:t>
      </w:r>
    </w:p>
    <w:p>
      <w:r>
        <w:t xml:space="preserve">Der Minister für</w:t>
      </w:r>
    </w:p>
    <w:p>
      <w:r>
        <w:t xml:space="preserve">Ländliche Entwicklung,</w:t>
      </w:r>
    </w:p>
    <w:p>
      <w:r>
        <w:t xml:space="preserve">Umwelt und</w:t>
      </w:r>
    </w:p>
    <w:p>
      <w:r>
        <w:t xml:space="preserve">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8 FPV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