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FPV (Brandenburg) — Verhältnis zum Baurecht</w:t>
      </w:r>
    </w:p>
    <w:p>
      <w:r>
        <w:rPr>
          <w:color w:val="555555"/>
          <w:sz w:val="18"/>
        </w:rPr>
        <w:t xml:space="preserve">Flächenpoolverordnung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gilt nicht für Maßnahmen zum Ausgleich im Rahmen der gemeindlichen</w:t>
      </w:r>
    </w:p>
    <w:p>
      <w:r>
        <w:t xml:space="preserve">Bauleitplanung nach § 1a Absatz 3, § 9 Absatz 1a und § 135a des Baugesetzbuches.</w:t>
      </w:r>
    </w:p>
    <w:p>
      <w:r>
        <w:t xml:space="preserve">Im Außenbereich nach § 35 des Baugesetzbuches sowie für Bebauungspläne, soweit sie eine</w:t>
      </w:r>
    </w:p>
    <w:p>
      <w:r>
        <w:t xml:space="preserve">Planfeststellung ersetzen, bleibt die Geltung dieser Verordnung unberührt.</w:t>
      </w:r>
    </w:p>
    <w:p>
      <w:r>
        <w:rPr>
          <w:color w:val="555555"/>
          <w:sz w:val="17"/>
        </w:rPr>
        <w:t xml:space="preserve">Zitiervorschlag: § 7 FPV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