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FPV (Brandenburg) — Anerkennung von Agenturen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oberste Naturschutzbehörde kann rechtsfähige Personen als Agentur mit den</w:t>
      </w:r>
    </w:p>
    <w:p>
      <w:r>
        <w:t xml:space="preserve">Rechten aus § 5 anerkennen, die</w:t>
      </w:r>
    </w:p>
    <w:p>
      <w:r>
        <w:t xml:space="preserve">Maßnahmen- oder Flächenpools aufbauen</w:t>
      </w:r>
    </w:p>
    <w:p>
      <w:r>
        <w:t xml:space="preserve">und/oder betreiben und dabei Ziele der Landschaftsplanung berücksichtigen,</w:t>
      </w:r>
    </w:p>
    <w:p>
      <w:r>
        <w:t xml:space="preserve">Maßnahmen</w:t>
      </w:r>
    </w:p>
    <w:p>
      <w:r>
        <w:t xml:space="preserve">vorgezogen umsetzen und an Verursacher von Eingriffen vermitteln und</w:t>
      </w:r>
    </w:p>
    <w:p>
      <w:r>
        <w:t xml:space="preserve">Betreuung und</w:t>
      </w:r>
    </w:p>
    <w:p>
      <w:r>
        <w:t xml:space="preserve">Pflege von Maßnahmen bis zur Erreichung des Maßnahmenziels sicherstellen.</w:t>
      </w:r>
    </w:p>
    <w:p>
      <w:r>
        <w:t xml:space="preserve">Wer Maßnahmen durchführt, die ihrer Art nach einer langjährigen Pflege</w:t>
      </w:r>
    </w:p>
    <w:p>
      <w:r>
        <w:t xml:space="preserve">bedürfen, hat diese sicherzustellen.</w:t>
      </w:r>
    </w:p>
    <w:p>
      <w:r>
        <w:t xml:space="preserve">(2) Die</w:t>
      </w:r>
    </w:p>
    <w:p>
      <w:r>
        <w:t xml:space="preserve">Anerkennung setzt voraus, dass die Agenturen</w:t>
      </w:r>
    </w:p>
    <w:p>
      <w:r>
        <w:t xml:space="preserve">insbesondere</w:t>
      </w:r>
    </w:p>
    <w:p>
      <w:r>
        <w:t xml:space="preserve">durch Einsatz von Personal mit landschaftspflegerischer Fachhochschul- oder</w:t>
      </w:r>
    </w:p>
    <w:p>
      <w:r>
        <w:t xml:space="preserve">Hochschulausbildung oder vergleichbare Studiengänge, die Gewähr dafür</w:t>
      </w:r>
    </w:p>
    <w:p>
      <w:r>
        <w:t xml:space="preserve">bieten, dass die fachlichen Anforderungen und Verpflichtungen für</w:t>
      </w:r>
    </w:p>
    <w:p>
      <w:r>
        <w:t xml:space="preserve">Ausgleichs- und Ersatzmaßnahmen eingehalten werden; an Stelle einer</w:t>
      </w:r>
    </w:p>
    <w:p>
      <w:r>
        <w:t xml:space="preserve">einschlägigen akademischen Ausbildung genügt auch der Nachweis langjähriger</w:t>
      </w:r>
    </w:p>
    <w:p>
      <w:r>
        <w:t xml:space="preserve">Berufserfahrung in Landwirtschaft und Landschaftspflege,</w:t>
      </w:r>
    </w:p>
    <w:p>
      <w:r>
        <w:t xml:space="preserve">Maßnahmenplanungen für Maßnahmen- oder</w:t>
      </w:r>
    </w:p>
    <w:p>
      <w:r>
        <w:t xml:space="preserve">Flächenpools mit einer Mindestgröße von 30 Hektar entsprechend Absatz 1</w:t>
      </w:r>
    </w:p>
    <w:p>
      <w:r>
        <w:t xml:space="preserve">vorlegen, die durch hierfür qualifizierte Personen mit einer</w:t>
      </w:r>
    </w:p>
    <w:p>
      <w:r>
        <w:t xml:space="preserve">landschaftspflegerischen Fachhochschul- oder Hochschulausbildung oder</w:t>
      </w:r>
    </w:p>
    <w:p>
      <w:r>
        <w:t xml:space="preserve">vergleichbare Studiengänge geplant wurden,</w:t>
      </w:r>
    </w:p>
    <w:p>
      <w:r>
        <w:t xml:space="preserve">die rechtliche</w:t>
      </w:r>
    </w:p>
    <w:p>
      <w:r>
        <w:t xml:space="preserve">Sicherung der Poolflächen mit einem Flächenumfang von mindestens 10 Hektar</w:t>
      </w:r>
    </w:p>
    <w:p>
      <w:r>
        <w:t xml:space="preserve">nachweisen (Eigentum oder dingliche Sicherung im Grundbuch),</w:t>
      </w:r>
    </w:p>
    <w:p>
      <w:r>
        <w:t xml:space="preserve">eine für diesen</w:t>
      </w:r>
    </w:p>
    <w:p>
      <w:r>
        <w:t xml:space="preserve">Geschäftszweck ausreichende wirtschaftliche Basis besitzen und damit auch</w:t>
      </w:r>
    </w:p>
    <w:p>
      <w:r>
        <w:t xml:space="preserve">die Gewähr für die Betreuung von Maßnahmen bieten,</w:t>
      </w:r>
    </w:p>
    <w:p>
      <w:r>
        <w:t xml:space="preserve">sich</w:t>
      </w:r>
    </w:p>
    <w:p>
      <w:r>
        <w:t xml:space="preserve">verpflichten, einmal jährlich den zuständigen Zulassungsbehörden über Stand</w:t>
      </w:r>
    </w:p>
    <w:p>
      <w:r>
        <w:t xml:space="preserve">der Umsetzung der Ausgleichs- und Ersatzmaßnahmen in dem jeweiligen</w:t>
      </w:r>
    </w:p>
    <w:p>
      <w:r>
        <w:t xml:space="preserve">Maßnahmen- oder Flächenpool zu berichten, und</w:t>
      </w:r>
    </w:p>
    <w:p>
      <w:r>
        <w:t xml:space="preserve">von Personen</w:t>
      </w:r>
    </w:p>
    <w:p>
      <w:r>
        <w:t xml:space="preserve">vertreten werden, die persönlich zuverlässig sind.</w:t>
      </w:r>
    </w:p>
    <w:p>
      <w:r>
        <w:t xml:space="preserve">(3) Wird über den Antrag</w:t>
      </w:r>
    </w:p>
    <w:p>
      <w:r>
        <w:t xml:space="preserve">auf Anerkennung nicht innerhalb einer Frist von drei Monaten entschieden, gilt</w:t>
      </w:r>
    </w:p>
    <w:p>
      <w:r>
        <w:t xml:space="preserve">die Anerkennung als erteilt. § 1 des Verwaltungsverfahrensgesetzes für das Land</w:t>
      </w:r>
    </w:p>
    <w:p>
      <w:r>
        <w:t xml:space="preserve">Brandenburg in Verbindung mit § 42a des Verwaltungsverfahrensgesetztes findet</w:t>
      </w:r>
    </w:p>
    <w:p>
      <w:r>
        <w:t xml:space="preserve">Anwendung. Das Anerkennungsverfahren kann über den Einheitlichen Ansprechpartner</w:t>
      </w:r>
    </w:p>
    <w:p>
      <w:r>
        <w:t xml:space="preserve">für das Land Brandenburg abgewickelt werden. Das Gesetz über den Einheitlichen Ansprechpartner für das Land Brandenburg vom 7. Juli</w:t>
      </w:r>
    </w:p>
    <w:p>
      <w:r>
        <w:t xml:space="preserve">2009 (GVBl. I S. 262) sowie § 1 des Verwaltungsverfahrensgesetzes für das Land</w:t>
      </w:r>
    </w:p>
    <w:p>
      <w:r>
        <w:t xml:space="preserve">Brandenburg in Verbindung mit den §§ 71a bis 71e des</w:t>
      </w:r>
    </w:p>
    <w:p>
      <w:r>
        <w:t xml:space="preserve">Verwaltungsverfahrensgesetzes finden Anwendung.</w:t>
      </w:r>
    </w:p>
    <w:p>
      <w:r>
        <w:rPr>
          <w:color w:val="555555"/>
          <w:sz w:val="17"/>
        </w:rPr>
        <w:t xml:space="preserve">Zitiervorschlag: § 4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