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FPStatG — Versorgungsempfänger- und Altersgeldstatistik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02.01.2025 (konsolidierte Textfassung, kein amtliches Inkrafttretensdatum)</w:t>
      </w:r>
    </w:p>
    <w:p>
      <w:r>
        <w:t xml:space="preserve">Die Statistik nach § 1 Nummer 5 erfasst bei den Erhebungseinheiten nach § 2 Absatz 2 bis 7 jährlich zum Stichtag 1. Januar die Empfängerinnen und Empfänger von Versorgungsbezügen sowie die Altersgeldberechtigten und die Hinterbliebenenaltersgeldberechtigten nach Beamten- und Soldatenversorgungsrecht, beamtenrechtlichen Grundsätzen sowie Altersgeldrecht nach folgenden Erhebungsmerkmalen:</w:t>
      </w:r>
    </w:p>
    <w:p>
      <w:pPr>
        <w:ind w:left="420"/>
      </w:pPr>
      <w:r>
        <w:t xml:space="preserve">1. Geburtsmonat und -jahr,</w:t>
      </w:r>
    </w:p>
    <w:p>
      <w:pPr>
        <w:ind w:left="420"/>
      </w:pPr>
      <w:r>
        <w:t xml:space="preserve">2. Geschlecht, Familienstand,</w:t>
      </w:r>
    </w:p>
    <w:p>
      <w:pPr>
        <w:ind w:left="420"/>
      </w:pPr>
      <w:r>
        <w:t xml:space="preserve">3. Art des früheren Dienstverhältnisses,</w:t>
      </w:r>
    </w:p>
    <w:p>
      <w:pPr>
        <w:ind w:left="420"/>
      </w:pPr>
      <w:r>
        <w:t xml:space="preserve">4. Rechtsgrundlage der Versorgung oder des Altersgeldes,</w:t>
      </w:r>
    </w:p>
    <w:p>
      <w:pPr>
        <w:ind w:left="420"/>
      </w:pPr>
      <w:r>
        <w:t xml:space="preserve">5. Art des Versorgungs- oder Altersgeldanspruchs,</w:t>
      </w:r>
    </w:p>
    <w:p>
      <w:pPr>
        <w:ind w:left="420"/>
      </w:pPr>
      <w:r>
        <w:t xml:space="preserve">6. Laufbahngruppe, Besoldungsgruppe,</w:t>
      </w:r>
    </w:p>
    <w:p>
      <w:pPr>
        <w:ind w:left="420"/>
      </w:pPr>
      <w:r>
        <w:t xml:space="preserve">7. Wohnort nach dem jeweiligen Schlüssel im Gemeindeverzeichnis oder der Gemeindename mit Postleitzahl der Wohnanschrift, bei einem Ort im Ausland die Angabe hierzu,</w:t>
      </w:r>
    </w:p>
    <w:p>
      <w:pPr>
        <w:ind w:left="420"/>
      </w:pPr>
      <w:r>
        <w:t xml:space="preserve">8. Ruhegehalts- oder Altersgeldsatz,</w:t>
      </w:r>
    </w:p>
    <w:p>
      <w:pPr>
        <w:ind w:left="420"/>
      </w:pPr>
      <w:r>
        <w:t xml:space="preserve">9. Bestandsveränderungen im Vorjahr, Grund für den Eintritt des Versorgungsfalls einschließlich der Zahlungsaufnahme des Alters- und Hinterbliebenenaltersgeldes, letzter Aufgabenbereich,</w:t>
      </w:r>
    </w:p>
    <w:p>
      <w:pPr>
        <w:ind w:left="420"/>
      </w:pPr>
      <w:r>
        <w:t xml:space="preserve">10. Bruttoversorgungsbezüge, Bruttoaltersgeld und Bruttohinterbliebenenaltersgeld des Vorjahres,</w:t>
      </w:r>
    </w:p>
    <w:p>
      <w:pPr>
        <w:ind w:left="420"/>
      </w:pPr>
      <w:r>
        <w:t xml:space="preserve">11. Bruttoversorgungsbezüge, Bruttoaltersgeld und Bruttohinterbliebenenaltersgeld im Berichtsmonat, gegliedert nach Bezügebestandteilen,</w:t>
      </w:r>
    </w:p>
    <w:p>
      <w:pPr>
        <w:ind w:left="420"/>
      </w:pPr>
      <w:r>
        <w:t xml:space="preserve">12. Versorgungsabschläge bei vorzeitiger Versetzung in den Ruhestand oder Altersgeldabschlag bei vorzeitigem Bezug von Altersgeld,</w:t>
      </w:r>
    </w:p>
    <w:p>
      <w:pPr>
        <w:ind w:left="420"/>
      </w:pPr>
      <w:r>
        <w:t xml:space="preserve">13. bei den Erhebungseinheiten nach § 2 Absatz 2 Nummer 1 auch nach dem Einzelplan.</w:t>
      </w:r>
    </w:p>
    <w:p>
      <w:r>
        <w:rPr>
          <w:color w:val="555555"/>
          <w:sz w:val="17"/>
        </w:rPr>
        <w:t xml:space="preserve">Zitiervorschlag: § 7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