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FPStatG — Statistik des Steueraufkommens, der Hebesätze und der Umlagen</w:t>
      </w:r>
    </w:p>
    <w:p>
      <w:r>
        <w:rPr>
          <w:color w:val="555555"/>
          <w:sz w:val="18"/>
        </w:rPr>
        <w:t xml:space="preserve">Finanz- und Personalstatistikgesetz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Statistik nach § 1 Nr. 2 erfasst</w:t>
      </w:r>
    </w:p>
    <w:p>
      <w:pPr>
        <w:ind w:left="420"/>
      </w:pPr>
      <w:r>
        <w:t xml:space="preserve">1. bei den Erhebungseinheiten nach § 2 Absatz 2 Satz 1 Nummer 1 und 2 folgende Erhebungsmerkmale:</w:t>
      </w:r>
    </w:p>
    <w:p>
      <w:pPr>
        <w:ind w:left="780"/>
      </w:pPr>
      <w:r>
        <w:t xml:space="preserve">a) jährlichden Gemeindeanteil an der Einkommen- und Umsatzsteuer und die Gewerbesteuerumlage nach dem Ergebnis der Schlussabrechnung;</w:t>
      </w:r>
    </w:p>
    <w:p>
      <w:pPr>
        <w:ind w:left="780"/>
      </w:pPr>
      <w:r>
        <w:t xml:space="preserve">b) monatlichdas Aufkommen aus Steuern nach Steuerarten und Zöllen;</w:t>
      </w:r>
    </w:p>
    <w:p>
      <w:pPr>
        <w:ind w:left="420"/>
      </w:pPr>
      <w:r>
        <w:t xml:space="preserve">2. bei den Erhebungseinheiten nach § 2 Absatz 2 Satz 1 Nummer 3 folgende Erhebungsmerkmale:</w:t>
      </w:r>
    </w:p>
    <w:p>
      <w:pPr>
        <w:ind w:left="780"/>
      </w:pPr>
      <w:r>
        <w:t xml:space="preserve">a) jährlichdie Hebesätze der Realsteuern nach der Festlegung in der Haushaltssatzung, die bis zum 30. Juni beschlossenen Änderungen der Hebesätze sowie die Umlagesätze der allgemeinen Umlagen und der Sonderumlagen;</w:t>
      </w:r>
    </w:p>
    <w:p>
      <w:pPr>
        <w:ind w:left="780"/>
      </w:pPr>
      <w:r>
        <w:t xml:space="preserve">b) vierteljährlichdas Aufkommen aus Steuern nach Steuerarten.</w:t>
      </w:r>
    </w:p>
    <w:p>
      <w:r>
        <w:rPr>
          <w:color w:val="555555"/>
          <w:sz w:val="17"/>
        </w:rPr>
        <w:t xml:space="preserve">Zitiervorschlag: § 4 FPStatG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https://recht.nulegal.eu/gesetze/FPStatG/4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