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FPStatG — Zusammenführung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Zur Gewinnung statistischer Ergebnisse auf der Ebene der Hochschulen und Berufsakademien dürfen von den statistischen Ämtern der Länder die Erhebungsmerkmale Ist-Ausgaben und Ist-Einnahmen oder die Erhebungsmerkmale Erträge, Aufwendungen und Investitionsausgaben der Hochschulen und Berufsakademien nach § 3 Absatz 1 Nummer 1 Buchstabe d und Nummer 2 Buchstabe c, soweit sie nicht von den Hochschulen oder Berufsakademien selbst bewirtschaftet werden, sowie die Namen der Hochschulen oder Berufsakademien mit den Erhebungsmerkmalen nach § 3 Absatz 7 oder § 6 Absatz 5 des Hochschulstatistikgesetzes zusammengeführt werden.</w:t>
      </w:r>
    </w:p>
    <w:p>
      <w:r>
        <w:t xml:space="preserve">(2) Zur Gewinnung statistischer Ergebnisse dürfen die Angaben nach § 9a Absatz 3 mit den Erhebungsmerkmalen der Statistiken nach § 1 dieses Gesetzes und den Erhebungsmerkmalen nach § 3 Absatz 7 oder § 6 Absatz 5 des Hochschulstatistikgesetzes zusammengeführt werden.</w:t>
      </w:r>
    </w:p>
    <w:p>
      <w:r>
        <w:rPr>
          <w:color w:val="555555"/>
          <w:sz w:val="17"/>
        </w:rPr>
        <w:t xml:space="preserve">Zitiervorschlag: § 13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