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FPStatG — Hilfsmerkmale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Hilfsmerkmale sind</w:t>
      </w:r>
    </w:p>
    <w:p>
      <w:pPr>
        <w:ind w:left="420"/>
      </w:pPr>
      <w:r>
        <w:t xml:space="preserve">1. Name und Anschrift der Erhebungseinheit sowie Berichts- und Dienststellennummer,</w:t>
      </w:r>
    </w:p>
    <w:p>
      <w:pPr>
        <w:ind w:left="420"/>
      </w:pPr>
      <w:r>
        <w:t xml:space="preserve">2. Name, Kontaktdaten der für eventuelle Rückfragen zur Verfügung stehenden Personen,</w:t>
      </w:r>
    </w:p>
    <w:p>
      <w:pPr>
        <w:ind w:left="420"/>
      </w:pPr>
      <w:r>
        <w:t xml:space="preserve">3. bei den Erhebungseinheiten nach § 2 Absatz 3 Satz 1 Nummer 2 und Absatz 5 auch die für den entsprechenden Haushalt zuständige oberste Bundes- oder Landesbehörde.</w:t>
      </w:r>
    </w:p>
    <w:p>
      <w:r>
        <w:rPr>
          <w:color w:val="555555"/>
          <w:sz w:val="17"/>
        </w:rPr>
        <w:t xml:space="preserve">Zitiervorschlag: § 10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