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FPMMstrV — Gliederung, Prüfungsdauer und Bestehen des Teils II</w:t>
      </w:r>
    </w:p>
    <w:p>
      <w:r>
        <w:rPr>
          <w:color w:val="555555"/>
          <w:sz w:val="18"/>
        </w:rPr>
        <w:t xml:space="preserve">Fliesen-, Platten- und Mosaiklegermeisterverordnung</w:t>
      </w:r>
    </w:p>
    <w:p>
      <w:r>
        <w:rPr>
          <w:color w:val="555555"/>
          <w:sz w:val="18"/>
        </w:rPr>
        <w:t xml:space="preserve">Stand: 10.06.2019 (konsolidierte Textfassung, kein amtliches Inkrafttretensdatum)</w:t>
      </w:r>
    </w:p>
    <w:p>
      <w:r>
        <w:t xml:space="preserve">(1) Durch die Prüfung in Teil II soll der Prüfling in den in Absatz 2 Nr. 1 bis 3 genannten Handlungsfeldern seine Handlungskompetenz dadurch nachweisen, dass er berufsbezogene Probleme analysiert und bewertet sowie Lösungswege aufzeigt und dokumentiert und dabei aktuelle Entwicklungen berücksichtigt.</w:t>
      </w:r>
    </w:p>
    <w:p>
      <w:r>
        <w:t xml:space="preserve">(2) In jedem der folgenden Handlungsfelder ist mindestens eine Aufgabe zu bearbeiten, die fallorientiert sein muss:</w:t>
      </w:r>
    </w:p>
    <w:p>
      <w:pPr>
        <w:ind w:left="420"/>
      </w:pPr>
      <w:r>
        <w:t xml:space="preserve">1. Gestaltung und VerlegetechnikDer Prüfling soll nachweisen, dass er in der Lage ist, gestaltungs- und verlegetechnische Aufgaben unter Berücksichtigung wirtschaftlicher und ökologischer Aspekte in einem Fliesen-, Platten- und Mosaiklegerbetrieb zu bearbeiten. Dabei soll er berufsbezogene Sachverhalte analysieren und bewerten. Bei der jeweiligen Aufgabenstellung sollen mehrere der unter den Buchstaben a bis j aufgeführten Qualifikationen verknüpft werden:</w:t>
      </w:r>
    </w:p>
    <w:p>
      <w:pPr>
        <w:ind w:left="780"/>
      </w:pPr>
      <w:r>
        <w:t xml:space="preserve">a) Verlegeuntergründe prüfen und beurteilen,</w:t>
      </w:r>
    </w:p>
    <w:p>
      <w:pPr>
        <w:ind w:left="780"/>
      </w:pPr>
      <w:r>
        <w:t xml:space="preserve">b) Konstruktionen des Verlegeuntergrundes beschreiben und bewerten,</w:t>
      </w:r>
    </w:p>
    <w:p>
      <w:pPr>
        <w:ind w:left="780"/>
      </w:pPr>
      <w:r>
        <w:t xml:space="preserve">c) Material für Beläge und Bekleidungen auswählen und Auswahl begründen,</w:t>
      </w:r>
    </w:p>
    <w:p>
      <w:pPr>
        <w:ind w:left="780"/>
      </w:pPr>
      <w:r>
        <w:t xml:space="preserve">d) Arten und Eigenschaften von Baustoffen beurteilen und Verwendungszwecken zuordnen, auch unter Berücksichtigung gestalterischer Aspekte,</w:t>
      </w:r>
    </w:p>
    <w:p>
      <w:pPr>
        <w:ind w:left="780"/>
      </w:pPr>
      <w:r>
        <w:t xml:space="preserve">e) Gestaltungselemente, insbesondere Farben, Formen und Formate bewerten und darstellen,</w:t>
      </w:r>
    </w:p>
    <w:p>
      <w:pPr>
        <w:ind w:left="780"/>
      </w:pPr>
      <w:r>
        <w:t xml:space="preserve">f) Arten von Abdichtungsmaßnahmen beschreiben, Verwendungszwecken zuordnen und begründen,</w:t>
      </w:r>
    </w:p>
    <w:p>
      <w:pPr>
        <w:ind w:left="780"/>
      </w:pPr>
      <w:r>
        <w:t xml:space="preserve">g) Ansetz- und Verlegetechniken beschreiben und begründen,</w:t>
      </w:r>
    </w:p>
    <w:p>
      <w:pPr>
        <w:ind w:left="780"/>
      </w:pPr>
      <w:r>
        <w:t xml:space="preserve">h) Schutzmaßnahmen für Oberflächen beschreiben und bewerten,</w:t>
      </w:r>
    </w:p>
    <w:p>
      <w:pPr>
        <w:ind w:left="780"/>
      </w:pPr>
      <w:r>
        <w:t xml:space="preserve">i) hygienische und sicherheitstechnische Erfordernisse beschreiben,</w:t>
      </w:r>
    </w:p>
    <w:p>
      <w:pPr>
        <w:ind w:left="780"/>
      </w:pPr>
      <w:r>
        <w:t xml:space="preserve">j) Sanierungskonzepte erstellen, prüfen und bewerten.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den Buchstaben a bis j aufgeführten Qualifikationen verknüpft werden:</w:t>
      </w:r>
    </w:p>
    <w:p>
      <w:pPr>
        <w:ind w:left="780"/>
      </w:pPr>
      <w:r>
        <w:t xml:space="preserve">a) Möglichkeiten der Auftragsbeschaffung darstellen,</w:t>
      </w:r>
    </w:p>
    <w:p>
      <w:pPr>
        <w:ind w:left="780"/>
      </w:pPr>
      <w:r>
        <w:t xml:space="preserve">b) Angebotsunterlagen erstellen, Angebotskalkulationen durchführen, Angebote auswerten,</w:t>
      </w:r>
    </w:p>
    <w:p>
      <w:pPr>
        <w:ind w:left="780"/>
      </w:pPr>
      <w:r>
        <w:t xml:space="preserve">c) Methoden und Verfahren der Arbeitsplanung und -organisation unter Berücksichtigung der Ausführungstechnik und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allgemein anerkannte Regeln der Technik anwenden, insbesondere die Haftung bei der Herstellung, der Instandhaltung und bei Dienstleistungen beurteilen,</w:t>
      </w:r>
    </w:p>
    <w:p>
      <w:pPr>
        <w:ind w:left="780"/>
      </w:pPr>
      <w:r>
        <w:t xml:space="preserve">e) Arbeitspläne, Skizzen und technische Zeichnungen erarbeiten sowie vorgegebene Arbeitspläne, Skizzen und technische Zeichnungen bewerten und korrigieren,</w:t>
      </w:r>
    </w:p>
    <w:p>
      <w:pPr>
        <w:ind w:left="780"/>
      </w:pPr>
      <w:r>
        <w:t xml:space="preserve">f) auftragsbezogenen Einsatz von Material, Werkstoffen, Maschinen und Geräten bestimmen und begründen,</w:t>
      </w:r>
    </w:p>
    <w:p>
      <w:pPr>
        <w:ind w:left="780"/>
      </w:pPr>
      <w:r>
        <w:t xml:space="preserve">g) Unteraufträge vergeben und kontrollieren,</w:t>
      </w:r>
    </w:p>
    <w:p>
      <w:pPr>
        <w:ind w:left="780"/>
      </w:pPr>
      <w:r>
        <w:t xml:space="preserve">h) auftragsbezogene Nachweise erstellen,</w:t>
      </w:r>
    </w:p>
    <w:p>
      <w:pPr>
        <w:ind w:left="780"/>
      </w:pPr>
      <w:r>
        <w:t xml:space="preserve">i) Vorleistungen und Toleranzen von Vorgewerken bewerten,</w:t>
      </w:r>
    </w:p>
    <w:p>
      <w:pPr>
        <w:ind w:left="780"/>
      </w:pPr>
      <w:r>
        <w:t xml:space="preserve">j) Aufmass und Rechnungslegung unter Beachtung von Vertragsgrundlagen sowie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und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(3) Die Prüfung in Teil II ist schriftlich durchzuführen. Sie soll in jedem Handlungsfeld nicht länger als drei Stunden dauern. Eine Prüfungsdauer von sechs Stunden täglich darf nicht überschritten werden.</w:t>
      </w:r>
    </w:p>
    <w:p>
      <w:r>
        <w:t xml:space="preserve">(4) Die Gesamtbewertung des Teils II wird aus dem arithmetischen Mittel der Einzelbewertungen der Handlungsfelder gemäß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FPMMstrV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https://recht.nulegal.eu/gesetze/FPMMstrV/8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