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FPMMstrV — Meisterprüfungsprojekt</w:t>
      </w:r>
    </w:p>
    <w:p>
      <w:r>
        <w:rPr>
          <w:color w:val="555555"/>
          <w:sz w:val="18"/>
        </w:rPr>
        <w:t xml:space="preserve">Fliesen-, Platten- und Mosaiklegermeisterverordnung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eine Flächenbekleidung oder -belegung zu entwerfen, zu planen und zu kalkulieren. Auf dieser Grundlage ist eine mindestens zwei Quadratmeter große Fläche zu bekleiden oder zu belegen. Dabei sind mindestens zwei unterschiedliche Materialien, Formate und Farben zu verwenden. Die Durchführungsarbeiten umfassen die Herstellung einer Unterkonstruktion sowie die Vorbereitung des Untergrundes. Die durchgeführten Arbeiten sind zu protokollieren.</w:t>
      </w:r>
    </w:p>
    <w:p>
      <w:r>
        <w:t xml:space="preserve">(4) Die Entwurfs-, Planungs- und Kalkulationsunterlagen werden mit 40 Prozent, die durchgeführten Arbeiten mit 50 Prozent und das Abnahmeprotokoll mit 10 Prozent gewichtet.</w:t>
      </w:r>
    </w:p>
    <w:p>
      <w:r>
        <w:rPr>
          <w:color w:val="555555"/>
          <w:sz w:val="17"/>
        </w:rPr>
        <w:t xml:space="preserve">Zitiervorschlag: § 4 FPMMstrV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https://recht.nulegal.eu/gesetze/FPMMstrV/4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