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FPMMstrV — Gliederung des Teils I</w:t>
      </w:r>
    </w:p>
    <w:p>
      <w:r>
        <w:rPr>
          <w:color w:val="555555"/>
          <w:sz w:val="18"/>
        </w:rPr>
        <w:t xml:space="preserve">Fliesen-, Platten- und Mosaiklegermeisterverordnung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als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FPMMstrV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https://recht.nulegal.eu/gesetze/FPMMstrV/3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