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FPMMstrV — Übergangsvorschrift</w:t>
      </w:r>
    </w:p>
    <w:p>
      <w:r>
        <w:rPr>
          <w:color w:val="555555"/>
          <w:sz w:val="18"/>
        </w:rPr>
        <w:t xml:space="preserve">Fliesen-, Platten- und Mosaiklegermeisterverordnung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Ein Prüfungsverfahren, das vor Ablauf des 13. Februar 2020 begonnen worden ist, ist nach den bis zum Ablauf dieses Tages geltenden Vorschriften durch den nach § 47 der Handwerksordnung errichteten Meisterprüfungsausschuss fortzuführen.</w:t>
      </w:r>
    </w:p>
    <w:p>
      <w:r>
        <w:rPr>
          <w:color w:val="555555"/>
          <w:sz w:val="17"/>
        </w:rPr>
        <w:t xml:space="preserve">Zitiervorschlag: § 10 FPMMstrV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https://recht.nulegal.eu/gesetze/FPMMstrV/10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