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FOSO (Sachsen) — Versagungsgründe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Aufnahme an der Fachoberschule ist zu versagen, wenn der Bewerber</w:t>
      </w:r>
    </w:p>
    <w:p>
      <w:r>
        <w:t xml:space="preserve">1. die Aufnahmevoraussetzungen nicht erfüllt,</w:t>
      </w:r>
    </w:p>
    <w:p>
      <w:r>
        <w:t xml:space="preserve">2. im Auswahlverfahren nicht berücksichtigt werden konnte,</w:t>
      </w:r>
    </w:p>
    <w:p>
      <w:r>
        <w:t xml:space="preserve">3. mehr als einmal zur Abschlussprüfung nicht zugelassen wurde,</w:t>
      </w:r>
    </w:p>
    <w:p>
      <w:r>
        <w:t xml:space="preserve">4. mehr als einmal ohne Erfolg an der Abschlussprüfung teilgenommen hat oder</w:t>
      </w:r>
    </w:p>
    <w:p>
      <w:r>
        <w:t xml:space="preserve">5. den Bildungsgang nicht ohne eine Überschreitung der Verweildauer beenden kann.</w:t>
      </w:r>
    </w:p>
    <w:p>
      <w:r>
        <w:rPr>
          <w:color w:val="555555"/>
          <w:sz w:val="17"/>
        </w:rPr>
        <w:t xml:space="preserve">Zitiervorschlag: § 7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