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FOSO (Sachsen) — Stundentafeln, Lehrpläne und Klassenbücher</w:t>
      </w:r>
    </w:p>
    <w:p>
      <w:r>
        <w:rPr>
          <w:color w:val="555555"/>
          <w:sz w:val="18"/>
        </w:rPr>
        <w:t xml:space="preserve">Schulordnung Fachoberschule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Unterricht erfolgt nach den von der obersten Schulaufsichtsbehörde erlassenen Lehrplänen und Stundentafeln.</w:t>
      </w:r>
    </w:p>
    <w:p>
      <w:r>
        <w:t xml:space="preserve">(2) Zum Nachweis der Unterrichtsinhalte und des ordnungsgemäßen Unterrichtsablaufes wird ein Klassenbuch geführt.</w:t>
      </w:r>
    </w:p>
    <w:p>
      <w:r>
        <w:t xml:space="preserve">(3) Das Fach Deutsch als Zweitsprache kann in klassenübergreifenden Gruppen unterrichtet werden.</w:t>
      </w:r>
    </w:p>
    <w:p>
      <w:r>
        <w:rPr>
          <w:color w:val="555555"/>
          <w:sz w:val="17"/>
        </w:rPr>
        <w:t xml:space="preserve">Zitiervorschlag: § 4 FOSO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