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FOSO (Sachsen) — Verweildauer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Verweildauer an der zweijährigen Fachoberschule beträgt höchstens vier Jahre.</w:t>
      </w:r>
    </w:p>
    <w:p>
      <w:r>
        <w:t xml:space="preserve">(2) Die Verweildauer an der einjährigen Fachoberschule beträgt bei Vollzeitunterricht höchstens zwei Jahre und bei Teilzeitunterricht höchstens vier Jahre.</w:t>
      </w:r>
    </w:p>
    <w:p>
      <w:r>
        <w:t xml:space="preserve">(3) Auf die Verweildauer sind alle besuchten, einschließlich der wiederholten Klassenstufen, auch in anderen Fachrichtungen der Fachoberschule, anzurechnen.</w:t>
      </w:r>
    </w:p>
    <w:p>
      <w:r>
        <w:rPr>
          <w:color w:val="555555"/>
          <w:sz w:val="17"/>
        </w:rPr>
        <w:t xml:space="preserve">Zitiervorschlag: § 3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