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FOSO (Sachsen) — Versetzung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Grundlage für die Entscheidung über die Versetzung von Klassenstufe 11 nach Klassenstufe 12 bilden die Jahresnoten der einzelnen Fächer. Der Schüler wird versetzt, wenn</w:t>
      </w:r>
    </w:p>
    <w:p>
      <w:r>
        <w:t xml:space="preserve">1. kein Fach mit der Jahresnote „ungenügend“ bewertet wurde und die mit „mangelhaft“ bewerteten Fächer gemäß § 19 ausgeglichen werden können,</w:t>
      </w:r>
    </w:p>
    <w:p>
      <w:r>
        <w:t xml:space="preserve">2. in jedem Fach auf Grund einer ausreichenden Anzahl von Leistungsnachweisen eine Jahresnote gebildet werden konnte und</w:t>
      </w:r>
    </w:p>
    <w:p>
      <w:r>
        <w:t xml:space="preserve">3. der fachpraktische Teil der Ausbildung mit „bestanden“ bewertet wurde.</w:t>
      </w:r>
    </w:p>
    <w:p>
      <w:r>
        <w:t xml:space="preserve">(2) Im Fall des § 13 Absatz 5 findet Absatz 1 Satz 2 Nummer 3 keine Anwendung.</w:t>
      </w:r>
    </w:p>
    <w:p>
      <w:r>
        <w:rPr>
          <w:color w:val="555555"/>
          <w:sz w:val="17"/>
        </w:rPr>
        <w:t xml:space="preserve">Zitiervorschlag: § 18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