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FOSO (Sachsen) — Geltungsbereich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regelt die Ausbildung und Prüfung an öffentlichen Fachoberschulen der Fachrichtungen</w:t>
      </w:r>
    </w:p>
    <w:p>
      <w:r>
        <w:t xml:space="preserve">1. Agrarwirtschaft, Bio- und Umwelttechnologie,</w:t>
      </w:r>
    </w:p>
    <w:p>
      <w:r>
        <w:t xml:space="preserve">2. Gestaltung,</w:t>
      </w:r>
    </w:p>
    <w:p>
      <w:r>
        <w:t xml:space="preserve">3. Gesundheit und Soziales,</w:t>
      </w:r>
    </w:p>
    <w:p>
      <w:r>
        <w:t xml:space="preserve">4. Technik sowie</w:t>
      </w:r>
    </w:p>
    <w:p>
      <w:r>
        <w:t xml:space="preserve">5. Wirtschaft und Verwaltung.</w:t>
      </w:r>
    </w:p>
    <w:p>
      <w:r>
        <w:t xml:space="preserve">Die Teile 2, 3, 5 und 7 sowie die §§ 18, 19 und 43 finden auf anerkannte Ersatzschulen, die als Fachoberschule geführt werden, entsprechende Anwendung.</w:t>
      </w:r>
    </w:p>
    <w:p>
      <w:r>
        <w:rPr>
          <w:color w:val="555555"/>
          <w:sz w:val="17"/>
        </w:rPr>
        <w:t xml:space="preserve">Zitiervorschlag: § 1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