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FOSFHRV (Brandenburg) — Widerspruch und Akteneinsicht</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Gegen schulische Entscheidungen, die Verwaltungsakte sind, kann bei der Schule Widerspruch eingelegt werden. Hierüber sind die Schülerinnen und Schüler, und bei Nichtvolljährigen deren Eltern, schriftlich zu belehren. Die Durchführung des Widerspruchsverfahrens richtet sich nach den geltenden Rechts- und Verwaltungsvorschriften.</w:t>
      </w:r>
    </w:p>
    <w:p>
      <w:r>
        <w:t xml:space="preserve">(2) Wird dem Widerspruch nicht stattgegeben, entscheidet das staatliche Schulamt.</w:t>
      </w:r>
    </w:p>
    <w:p>
      <w:r>
        <w:t xml:space="preserve">(3) Den Schülerinnen und Schülern, und bei Nichtvolljährigen deren Eltern, ist auf Antrag Einsicht in die sie betreffenden Prüfungsakten zu geben, soweit deren Kenntnis zur Geltendmachung oder Verteidigung ihrer rechtlichen Interessen erforderlich ist.</w:t>
      </w:r>
    </w:p>
    <w:p>
      <w:r>
        <w:t xml:space="preserve">Einzelnorm</w:t>
      </w:r>
    </w:p>
    <w:p>
      <w:r>
        <w:rPr>
          <w:color w:val="555555"/>
          <w:sz w:val="17"/>
        </w:rPr>
        <w:t xml:space="preserve">Zitiervorschlag: § 54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