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FOSFHRV (Brandenburg) — Erwerb der Fachhochschulreife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den Erwerb der Fachhochschulreife gilt Kapitel 2 entsprechend, soweit nachstehend nichts anderes geregelt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41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