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FOSFHRV (Brandenburg) — Aufnahmevoraussetzungen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einjährigen Bildungsgang kann aufgenommen werden, wer</w:t>
      </w:r>
    </w:p>
    <w:p>
      <w:r>
        <w:t xml:space="preserve">den mittleren Schulabschluss oder einen gleichwertigen Abschluss nachweist oder die Berechtigung zum Besuch der gymnasialen Oberstufe erworben hat und</w:t>
      </w:r>
    </w:p>
    <w:p>
      <w:r>
        <w:t xml:space="preserve">eine auf die Fachrichtung bezogene einschlägige Berufsausbildung nach dem Berufsbildungsgesetz oder der Handwerksordnung oder nach Landesrecht erfolgreich abgeschlossen hat oder</w:t>
      </w:r>
    </w:p>
    <w:p>
      <w:r>
        <w:t xml:space="preserve">eine gleichwertige, vom für Schule zuständigen Ministerium anerkannte berufliche Vorbildung oder eine einschlägige mindestens dreijährige Berufstätigkeit nachweist.</w:t>
      </w:r>
    </w:p>
    <w:p>
      <w:r>
        <w:t xml:space="preserve">(2) In den zweijährigen Bildungsgang kann aufgenommen werden, wer</w:t>
      </w:r>
    </w:p>
    <w:p>
      <w:r>
        <w:t xml:space="preserve">den mittleren Schulabschluss oder einen gleichwertigen Abschluss nachweist oder die Berechtigung zum Besuch der gymnasialen Oberstufe erworben hat und</w:t>
      </w:r>
    </w:p>
    <w:p>
      <w:r>
        <w:t xml:space="preserve">eine schriftliche Zusage der Praxisstelle für die Durchführung der fachpraktischen Ausbildung vorlegt.</w:t>
      </w:r>
    </w:p>
    <w:p>
      <w:r>
        <w:t xml:space="preserve">(3) In den doppelqualifizierenden Bildungsgang kann aufgenommen werden, wer</w:t>
      </w:r>
    </w:p>
    <w:p>
      <w:r>
        <w:t xml:space="preserve">mindestens den mittleren Schulabschluss oder einen gleichwertigen Abschluss nachweist und</w:t>
      </w:r>
    </w:p>
    <w:p>
      <w:r>
        <w:t xml:space="preserve">einen Ausbildungsvertrag in einem anerkannten Ausbildungsberuf nach dem Berufsbildungsgesetz oder der Handwerksordnung mit einer Regelausbildungsdauer von mindestens drei Jahren abgeschlossen hat, der durch eine ergänzende Zusatzvereinbarung die Doppelqualifizierung vorsieht.</w:t>
      </w:r>
    </w:p>
    <w:p>
      <w:r>
        <w:t xml:space="preserve">(4) Das für Schule zuständige Ministerium trifft Festlegungen über die Zuordnung von Berufen und Berufstätigkeiten gemäß Absatz 1 Nummer 2 und 3 zu den Fachrichtungen der Fachoberschule. Auf dieser Grundlage entscheidet die Schulleiterin oder der Schulleiter, in welcher Fachrichtung der einjährige Bildungsgang besucht wird.</w:t>
      </w:r>
    </w:p>
    <w:p>
      <w:r>
        <w:t xml:space="preserve">(5) In die Bildungsgänge gemäß Absatz 1 bis 3 kann auch aufgenommen werden, wer</w:t>
      </w:r>
    </w:p>
    <w:p>
      <w:r>
        <w:t xml:space="preserve">im Ausland eine vergleichbare Qualifikation erworben hat und</w:t>
      </w:r>
    </w:p>
    <w:p>
      <w:r>
        <w:t xml:space="preserve">aufgrund der bisherigen im Ausland absolvierten Schullaufbahn einen erfolgreichen Abschluss des Bildungsgangs erwarten lässt und</w:t>
      </w:r>
    </w:p>
    <w:p>
      <w:r>
        <w:t xml:space="preserve">hinreichende deutsche Sprachkenntnisse mindestens auf dem Niveau B1 gemäß dem Gemeinsamen europäischen Referenzrahmen für Sprachen nachweisen kann, soweit Deutsch nicht die Muttersprache ist und</w:t>
      </w:r>
    </w:p>
    <w:p>
      <w:r>
        <w:t xml:space="preserve">hinreichende englische Sprachkenntnisse mindestens auf dem Niveau B1 gemäß dem Gemeinsamen europäischen Referenzrahmen für Sprachen nachweisen kann.</w:t>
      </w:r>
    </w:p>
    <w:p>
      <w:r>
        <w:t xml:space="preserve">Die Bestimmungen gemäß Absatz 3 Nummer 2 bleiben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