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FOSFHRV (Brandenburg) — Gliederung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Bildungsgänge der Fachoberschule sind nach folgenden Fachrichtungen gegliedert:</w:t>
      </w:r>
    </w:p>
    <w:p>
      <w:r>
        <w:t xml:space="preserve">Wirtschaft und Verwaltung,</w:t>
      </w:r>
    </w:p>
    <w:p>
      <w:r>
        <w:t xml:space="preserve">Technik,</w:t>
      </w:r>
    </w:p>
    <w:p>
      <w:r>
        <w:t xml:space="preserve">Gesundheit und Soziales,</w:t>
      </w:r>
    </w:p>
    <w:p>
      <w:r>
        <w:t xml:space="preserve">Gestaltung,</w:t>
      </w:r>
    </w:p>
    <w:p>
      <w:r>
        <w:t xml:space="preserve">Ernährung und Hauswirtschaft sowie</w:t>
      </w:r>
    </w:p>
    <w:p>
      <w:r>
        <w:t xml:space="preserve">Agrarwirtschaft, Bio- und Umwelttechnologie.</w:t>
      </w:r>
    </w:p>
    <w:p>
      <w:r>
        <w:t xml:space="preserve">Innerhalb der Fachrichtungen können Schwerpunkte gebildet werden.</w:t>
      </w:r>
    </w:p>
    <w:p>
      <w:r>
        <w:t xml:space="preserve">(2) Der einjährige Bildungsgang kann in allen in Absatz 1 genannten Fachrichtungen eingerichtet werden. Der zweijährige Bildungsgang kann nur in den Fachrichtungen gemäß Absatz 1 Nummer 1 bis 3 eingerichtet werden.</w:t>
      </w:r>
    </w:p>
    <w:p>
      <w:r>
        <w:t xml:space="preserve">(3) Der doppelqualifizierende Bildungsgang wird nach Ausbildungsberufen gegliedert.</w:t>
      </w:r>
    </w:p>
    <w:p>
      <w:r>
        <w:t xml:space="preserve">(4) Im Zusatzangebot gemäß den §§ 43 bis 48 wird nicht nach Fachrichtungen oder Ausbildungsberufen gegliedert, sondern nach Bedarf angeboten.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