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FOSFHRV (Brandenburg) — Teilnahmepflicht</w:t>
      </w:r>
    </w:p>
    <w:p>
      <w:r>
        <w:rPr>
          <w:color w:val="555555"/>
          <w:sz w:val="18"/>
        </w:rPr>
        <w:t xml:space="preserve">Fachoberschul- und Fachhochschulreifeverordnung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Mitglieder eines Ausschusses sind zur Teilnahme an dessen Sitzungen verpflichtet.</w:t>
      </w:r>
    </w:p>
    <w:p>
      <w:r>
        <w:t xml:space="preserve">(2) Kann ein Mitglied eines Ausschusses seine Aufgaben wegen Krankheit oder aus einem anderen zwingenden Grund nicht wahrnehmen, so bestimmt die oder der Vorsitzende des Prüfungsausschusses eine Vertretung.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26 FOSFHRV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https://recht.nulegal.eu/gesetze/FOSFHRV/26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