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FOSFHRV (Brandenburg) — Nachteilsausgleich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Gewährung eines Nachteilsausgleichs gilt § 10 Absatz 3 und 4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22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