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FOSFHRV (Brandenburg) — Grundsätze der Fachhochschulreifeprüfung</w:t>
      </w:r>
    </w:p>
    <w:p>
      <w:r>
        <w:rPr>
          <w:color w:val="555555"/>
          <w:sz w:val="18"/>
        </w:rPr>
        <w:t xml:space="preserve">Fachoberschul- und Fachhochschulreifeverordnung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 der Fachhochschulreifeprüfung soll der Prüfling nachweisen, dass er das Ziel des Bildungsganges oder des Zusatzangebots erreicht hat und die für das Studium an einer Fachhochschule geforderten Kenntnisse und Fähigkeiten besitzt.</w:t>
      </w:r>
    </w:p>
    <w:p>
      <w:r>
        <w:t xml:space="preserve">(2) Die Prüfung findet zum Ende des Schuljahres statt. Das für Schule zuständige Ministerium legt vor Beginn des Schuljahres einen Zeitrahmen für die Durchführung der Fachhochschulreifeprüfung fest.</w:t>
      </w:r>
    </w:p>
    <w:p>
      <w:r>
        <w:t xml:space="preserve">(3) Die Prüfung besteht aus einem schriftlichen und einem mündlichen Teil. In den Bildungsgängen der Fachoberschule Fachrichtung Gestaltung kann anstelle der fachrichtungsbezogenen schriftlichen Prüfung eine praktische Prüfung erfolgen.</w:t>
      </w:r>
    </w:p>
    <w:p>
      <w:r>
        <w:t xml:space="preserve">(4) Die Prüfungsanforderungen richten sich nach den vom für Schule zuständigen Ministerium genehmigten curricularen Vorgaben und ergänzenden Vorschriften.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20 FOSFHRV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https://recht.nulegal.eu/gesetze/FOSFHRV/20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