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FOSFHRV (Brandenburg) — Zeugnisse</w:t>
      </w:r>
    </w:p>
    <w:p>
      <w:r>
        <w:rPr>
          <w:color w:val="555555"/>
          <w:sz w:val="18"/>
        </w:rPr>
        <w:t xml:space="preserve">Fachoberschul- und Fachhochschulreifeverordnung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Im zweijährigen Bildungsgang ist auf dem Zeugnis am Ende des ersten Schuljahres ein Vermerk über den Erfolg der fachpraktischen Ausbildung aufzunehmen.</w:t>
      </w:r>
    </w:p>
    <w:p>
      <w:r>
        <w:t xml:space="preserve">(2) Wer den gewählten Bildungsgang oder das Zusatzangebot erfolgreich abgeschlossen hat, erhält gemäß § 39 das Zeugnis der Fachhochschulreife.</w:t>
      </w:r>
    </w:p>
    <w:p>
      <w:r>
        <w:t xml:space="preserve">(3) Ein Abgangszeugnis erhält, wer den Bildungsgang verlässt, ohne die Fachhochschulreife erworben zu haben.</w:t>
      </w:r>
    </w:p>
    <w:p>
      <w:r>
        <w:t xml:space="preserve">(4) Wer gemäß § 13 oder § 40 entlassen wird, erhält ein Abgangszeugnis mit dem Vermerk, dass eine erneute Aufnahme in diesen Bildungsgang nicht mehr möglich ist.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14 FOSFHRV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https://recht.nulegal.eu/gesetze/FOSFHRV/14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