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FOBOSO (Bayern) — Verbot des Wiederholens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das Wiederholen nach Art. 53 Abs. 3 BayEUG oder wegen Überschreitung der Höchstausbildungsdauer nicht zulässig, wird dies im Jahreszeugnis vermerkt.</w:t>
      </w:r>
    </w:p>
    <w:p>
      <w:r>
        <w:t xml:space="preserve">(2) Die Vorklasse darf nur wiederholt werden, wenn kein mittlerer Schulabschluss vorliegt. Der Vorkurs darf nur bei Vorliegen eines wichtigen Grundes wiederholt werden.</w:t>
      </w:r>
    </w:p>
    <w:p>
      <w:r>
        <w:rPr>
          <w:color w:val="555555"/>
          <w:sz w:val="17"/>
        </w:rPr>
        <w:t xml:space="preserve">Zitiervorschlag: § 25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