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FOBOSO (Bayern) — Geltungsbereich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Schulordnung gilt für die öffentlichen Fachoberschulen und Berufsoberschulen sowie für die staatlich anerkannten Fachoberschulen und Berufsoberschulen mit dem Charakter einer öffentlichen Schule.</w:t>
      </w:r>
    </w:p>
    <w:p>
      <w:r>
        <w:t xml:space="preserve">(2) Für Ersatzschulen gilt diese Schulordnung im Rahmen der Art. 90, 92 Abs. 2 Nr. 2 und Abs. 5 Satz 1 und 2 sowie Art. 93 des Bayerischen Gesetzes über das Erziehungs- und Unterrichtswesen (BayEUG); für staatlich anerkannte Ersatzschulen gilt sie darüber hinaus im Rahmen des Art. 100 Abs. 2 BayEUG.</w:t>
      </w:r>
    </w:p>
    <w:p>
      <w:r>
        <w:rPr>
          <w:color w:val="555555"/>
          <w:sz w:val="17"/>
        </w:rPr>
        <w:t xml:space="preserve">Zitiervorschlag: § 1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