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 (Bayern) — Sitzungen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erste Bürgermeister sowie der Obmann können eine Sitzung der Feldgeschworenen anberaumen. Eine Sitzung muß anberaumt werden, wenn mehr als die Hälfte der Feldgeschworenen dies fordert.</w:t>
      </w:r>
    </w:p>
    <w:p>
      <w:r>
        <w:t xml:space="preserve">(2) Die Sitzung wird vom Obmann, bei dessen Verhinderung vom Stellvertreter des Obmanns, bei Verhinderung beider vom dienstältesten anwesenden Feldgeschworenen geleitet.</w:t>
      </w:r>
    </w:p>
    <w:p>
      <w:r>
        <w:t xml:space="preserve">(3) Auf Beschlußfähigkeit und Beschlußfassung sind Art. 90 und 91 BayVwVfG anzuwenden.</w:t>
      </w:r>
    </w:p>
    <w:p>
      <w:r>
        <w:rPr>
          <w:color w:val="555555"/>
          <w:sz w:val="17"/>
        </w:rPr>
        <w:t xml:space="preserve">Zitiervorschlag: § 8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