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 (Bayern) — Grenzbegehungen</w:t>
      </w:r>
    </w:p>
    <w:p>
      <w:r>
        <w:rPr>
          <w:color w:val="555555"/>
          <w:sz w:val="18"/>
        </w:rPr>
        <w:t xml:space="preserve">Feldgeschworenenordnung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Häufigkeit und Ausgestaltung der Grenzbegehungen nach Art. 12 Abs. 1 Satz 3 AbmG richten sich nach dem Herkommen.</w:t>
      </w:r>
    </w:p>
    <w:p>
      <w:r>
        <w:t xml:space="preserve">(2) Die Grenzbegehung ist ortsüblich bekanntzumachen.</w:t>
      </w:r>
    </w:p>
    <w:p>
      <w:r>
        <w:rPr>
          <w:color w:val="555555"/>
          <w:sz w:val="17"/>
        </w:rPr>
        <w:t xml:space="preserve">Zitiervorschlag: § 2 FO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