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FMontAusbV — Zwischenprüfung</w:t>
      </w:r>
    </w:p>
    <w:p>
      <w:r>
        <w:rPr>
          <w:color w:val="555555"/>
          <w:sz w:val="18"/>
        </w:rPr>
        <w:t xml:space="preserve">Verordnung über die Berufsausbildung zum Fassadenmonteur/zur Fassadenmonteurin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in Abschnitt I für das erste Ausbildungsjahr sowie die in Abschnitt II für das dritte Ausbildungshalbjahr aufgeführten Fertigkeiten und Kenntnisse sowie auf den im Berufsschulunterricht entsprechend den Rahmenlehrplänen zu vermittelnden Lehrstoff, soweit er für die Berufsausbildung wesentlich ist.</w:t>
      </w:r>
    </w:p>
    <w:p>
      <w:r>
        <w:t xml:space="preserve">(3) Der Prüfling soll im praktischen Teil der Prüfung in insgesamt höchstens sieben Stunden eine praktische Aufgabe ausführen. Hierfür kommt insbesondere in Betracht: Herstellen einer Unterkonstruktion einschließlich Verankern im Mauerwerk aus künstlichen Steinen oder im Beton und Befestigen von ebenen Fassadenelementen.</w:t>
      </w:r>
    </w:p>
    <w:p>
      <w:r>
        <w:t xml:space="preserve">(4) Der Prüfling soll im schriftlichen Teil der Prüfung in insgesamt höchstens 180 Minuten Aufgaben, die sich auf praxisbezogene Fälle beziehen sollen, aus folgenden Gebieten lösen:</w:t>
      </w:r>
    </w:p>
    <w:p>
      <w:pPr>
        <w:ind w:left="420"/>
      </w:pPr>
      <w:r>
        <w:t xml:space="preserve">1. Sicherheit und Gesundheitsschutz bei der Arbeit sowie Umweltschutz,</w:t>
      </w:r>
    </w:p>
    <w:p>
      <w:pPr>
        <w:ind w:left="420"/>
      </w:pPr>
      <w:r>
        <w:t xml:space="preserve">2. arbeitsvorbereitende Maßnahmen und Arbeitsabläufe,</w:t>
      </w:r>
    </w:p>
    <w:p>
      <w:pPr>
        <w:ind w:left="420"/>
      </w:pPr>
      <w:r>
        <w:t xml:space="preserve">3. Unterkonstruktionen und Verankerungen,</w:t>
      </w:r>
    </w:p>
    <w:p>
      <w:pPr>
        <w:ind w:left="420"/>
      </w:pPr>
      <w:r>
        <w:t xml:space="preserve">4. Fassadenbekleidungen.</w:t>
      </w:r>
    </w:p>
    <w:p>
      <w:r>
        <w:rPr>
          <w:color w:val="555555"/>
          <w:sz w:val="17"/>
        </w:rPr>
        <w:t xml:space="preserve">Zitiervorschlag: § 9 FMontAusbV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https://recht.nulegal.eu/gesetze/FMontAusbV/9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