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FMZV (Brandenburg)</w:t>
      </w:r>
    </w:p>
    <w:p>
      <w:r>
        <w:rPr>
          <w:color w:val="555555"/>
          <w:sz w:val="18"/>
        </w:rPr>
        <w:t xml:space="preserve">Zuständigkeitsverordnung Forstwirtschaftliche Maßnahmen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2003 in Kraft. Gleichzeitig treten die Agrarstruktur- Zuständigkeitsverordnung-Forst vom 8. Juni 1994 (GVBl. II S. 514) und die Zuständigkeitsverordnung - Forst Landesprogramm vom 31. Mai 1996 (GVBl. II S. 405) außer Kraft.</w:t>
      </w:r>
    </w:p>
    <w:p>
      <w:r>
        <w:t xml:space="preserve">Potsdam, den 19. März 2003</w:t>
      </w:r>
    </w:p>
    <w:p>
      <w:r>
        <w:rPr>
          <w:color w:val="555555"/>
          <w:sz w:val="17"/>
        </w:rPr>
        <w:t xml:space="preserve">Zitiervorschlag: § 2 FMZV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