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FMZV (Brandenburg)</w:t>
      </w:r>
    </w:p>
    <w:p>
      <w:r>
        <w:rPr>
          <w:color w:val="555555"/>
          <w:sz w:val="18"/>
        </w:rPr>
        <w:t xml:space="preserve">Zuständigkeitsverordnung Forstwirtschaftliche Maßnahmen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Amt für Forstwirtschaft Templin ist zuständig für den Vollzug der Richtlinien zur Förderung forstwirtschaftlicher Maßnahmen, die gemäß § 9 Abs. 1 des Gesetzes über die Gemeinschaftsaufgabe „Verbesserung der Agrarstruktur und des Küstenschutzes“ durchgeführt werden, und zur Förderung forstwirtschaftlicher Maßnahmen als Landesprogramm.</w:t>
      </w:r>
    </w:p>
    <w:p>
      <w:r>
        <w:rPr>
          <w:color w:val="555555"/>
          <w:sz w:val="17"/>
        </w:rPr>
        <w:t xml:space="preserve">Zitiervorschlag: § 1 FMZV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