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FMStFV</w:t>
      </w:r>
    </w:p>
    <w:p>
      <w:r>
        <w:rPr>
          <w:color w:val="555555"/>
          <w:sz w:val="18"/>
        </w:rPr>
        <w:t xml:space="preserve">Finanzmarktstabilisierungsfonds-Verordnung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2 Satz 1 in Verbindung mit § 3a Abs. 5 Satz 1, des § 4 Abs. 4 Satz 1, des § 6 Abs. 4, des § 7 Abs. 3, des § 8 Abs. 2 und des § 10 Abs. 2 des Finanzmarktstabilisierungsfondsgesetzes vom 17. Oktober 2008 (BGBl. I S. 1982) verordnet die Bundesregierung:</w:t>
      </w:r>
    </w:p>
    <w:p>
      <w:r>
        <w:rPr>
          <w:color w:val="555555"/>
          <w:sz w:val="17"/>
        </w:rPr>
        <w:t xml:space="preserve">Zitiervorschlag: Eingangsformel FMStFV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