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FMStFV — Rekapitalisierung</w:t>
      </w:r>
    </w:p>
    <w:p>
      <w:r>
        <w:rPr>
          <w:color w:val="555555"/>
          <w:sz w:val="18"/>
        </w:rPr>
        <w:t xml:space="preserve">Finanzmarktstabilisierungsfonds-Verordnung</w:t>
      </w:r>
    </w:p>
    <w:p>
      <w:r>
        <w:rPr>
          <w:color w:val="555555"/>
          <w:sz w:val="18"/>
        </w:rPr>
        <w:t xml:space="preserve">Stand: 10.06.2019 (konsolidierte Textfassung, kein amtliches Inkrafttretensdatum)</w:t>
      </w:r>
    </w:p>
    <w:p>
      <w:r>
        <w:t xml:space="preserve">(1) Der Fonds kann sich auf Antrag eines Unternehmens des Finanzsektors in jeder geeigneten Form an dessen Rekapitalisierung beteiligen. In Abstimmung mit dem Unternehmen kann die Rekapitalisierung auch in anderer als der ursprünglich beantragten Form erfolgen. Der Fonds kann Leistungen vorab erbringen und diese anschließend einer übernommenen Einlagepflicht zuordnen. Die Rekapitalisierung erfolgt vorrangig durch Stärkung des Kernkapitals.</w:t>
      </w:r>
    </w:p>
    <w:p>
      <w:r>
        <w:t xml:space="preserve">(2) Die näheren Bedingungen der Rekapitalisierung legt der Fonds im Einzelfall fest. Hierbei gelten folgende Maßgaben:</w:t>
      </w:r>
    </w:p>
    <w:p>
      <w:pPr>
        <w:ind w:left="420"/>
      </w:pPr>
      <w:r>
        <w:t xml:space="preserve">1. Der Fonds erhält eine marktgerechte Vergütung. In der Regel soll der Fonds eine Form der Vergütung anstreben, die den Gewinnbeteiligungsrechten der übrigen Gesellschafter des begünstigten Unternehmens vorgeht, insbesondere in Form eines Gewinnvorzugs oder einer Verzinsung.</w:t>
      </w:r>
    </w:p>
    <w:p>
      <w:pPr>
        <w:ind w:left="420"/>
      </w:pPr>
      <w:r>
        <w:t xml:space="preserve">2. Eine Rekapitalisierung unter Beteiligung des Fonds soll eine auf absehbare Zeit angemessene Eigenmittelausstattung zum Ziel haben. Der Fonds soll darauf hinwirken, dass eine Rekapitalisierung unter Beteiligung des Fonds grundsätzlich nur nach möglichen Eigenleistungen der Anteilseigner des begünstigten Unternehmens erfolgt.</w:t>
      </w:r>
    </w:p>
    <w:p>
      <w:pPr>
        <w:ind w:left="420"/>
      </w:pPr>
      <w:r>
        <w:t xml:space="preserve">3. Die Obergrenze für die Rekapitalisierung, bezogen auf ein einzelnes Unternehmen des Finanzsektors und seine verbundenen Unternehmen, liegt vorbehaltlich einer Entscheidung des Lenkungsausschusses im Einzelfall bei 10 Milliarden Euro.</w:t>
      </w:r>
    </w:p>
    <w:p>
      <w:r>
        <w:t xml:space="preserve">(3) (weggefallen)</w:t>
      </w:r>
    </w:p>
    <w:p>
      <w:r>
        <w:rPr>
          <w:color w:val="555555"/>
          <w:sz w:val="17"/>
        </w:rPr>
        <w:t xml:space="preserve">Zitiervorschlag: § 3 FMStFV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