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6c FMStFG — Verpflichtung zum weiteren Verlustausgleich</w:t>
      </w:r>
    </w:p>
    <w:p>
      <w:r>
        <w:rPr>
          <w:color w:val="555555"/>
          <w:sz w:val="18"/>
        </w:rPr>
        <w:t xml:space="preserve">Stabilisierungsfondsgesetz</w:t>
      </w:r>
    </w:p>
    <w:p>
      <w:r>
        <w:rPr>
          <w:color w:val="555555"/>
          <w:sz w:val="18"/>
        </w:rPr>
        <w:t xml:space="preserve">Stand: 10.06.2019 (konsolidierte Textfassung, kein amtliches Inkrafttretensdatum)</w:t>
      </w:r>
    </w:p>
    <w:p>
      <w:r>
        <w:t xml:space="preserve">(1) Ist das übertragende Unternehmen in der Rechtsform einer Aktiengesellschaft verfasst und reichen die über die Laufzeit der Garantie nach § 6b gezahlten Ausgleichsbeträge nicht aus, um Verluste gegenüber dem gemäß § 6a Absatz 2 Nummer 2 ermittelten Übertragungswert zum Übertragungszeitpunkt auszugleichen, sind nicht ausgeglichene Verluste auch über die Laufzeit der Garantie hinaus in voller Höhe einschließlich Verzinsung aus dem an die Anteilseigner auszuschüttenden Betrag gegenüber dem Fonds auszugleichen (Nachhaftung). Der Ausgleich kann im beiderseitigen Einvernehmen auch durch die Ausgabe von Aktien an den Fonds erfolgen.</w:t>
      </w:r>
    </w:p>
    <w:p>
      <w:r>
        <w:t xml:space="preserve">(2) Während der Dauer der Nachhaftung kann die Satzung gemäß § 58 Absatz 2 Satz 2 des Aktiengesetzes nur zur Einstellung eines kleineren Teils des Jahresüberschusses ermächtigen.</w:t>
      </w:r>
    </w:p>
    <w:p>
      <w:r>
        <w:t xml:space="preserve">(3) Das übertragende Unternehmen kann bis zur Hälfte des am 1. Januar 2015 bestehenden Grundkapitals Vorzugsaktien mit einem der Beteiligungsquote entsprechenden Vorzug vor den Ansprüchen des Fonds auf den an die Anteilseigner auszuschüttenden Betrag ausgeben; die Vorzugsaktien können auch mit Stimmrecht ausgestattet werden. Um den Betrag des Dividendenvorzugs ist die Ermächtigung zur Einstellung in Gewinnrücklagen nach § 58 Absatz 2 Satz 1 des Aktiengesetzes gemindert.</w:t>
      </w:r>
    </w:p>
    <w:p>
      <w:r>
        <w:t xml:space="preserve">(4) Für übertragende Unternehmen, die nicht in der Rechtsform einer Aktiengesellschaft verfasst sind, muss der Fonds eine den Absätzen 1 und 2 entsprechende Pflicht zur Nachhaftung in den Garantiebedingungen festlegen.</w:t>
      </w:r>
    </w:p>
    <w:p>
      <w:r>
        <w:t xml:space="preserve">(5) Die gesetzlichen und vertraglichen Ansprüche auf Nachhaftung unterliegen nicht der Verjährung.</w:t>
      </w:r>
    </w:p>
    <w:p>
      <w:r>
        <w:t xml:space="preserve">(6) Die sich aus den Absätzen 1 bis 5 ergebenden Folgen sind im Lagebericht und Konzernlagebericht des übertragenden Unternehmens anzugeben.</w:t>
      </w:r>
    </w:p>
    <w:p>
      <w:r>
        <w:rPr>
          <w:color w:val="555555"/>
          <w:sz w:val="17"/>
        </w:rPr>
        <w:t xml:space="preserve">Zitiervorschlag: § 6c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