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FMStFG — Garantien an Zweckgesellschaften</w:t>
      </w:r>
    </w:p>
    <w:p>
      <w:r>
        <w:rPr>
          <w:color w:val="555555"/>
          <w:sz w:val="18"/>
        </w:rPr>
        <w:t xml:space="preserve">Stabilisierungsfondsgesetz</w:t>
      </w:r>
    </w:p>
    <w:p>
      <w:r>
        <w:rPr>
          <w:color w:val="555555"/>
          <w:sz w:val="18"/>
        </w:rPr>
        <w:t xml:space="preserve">Stand: 01.01.2026 (konsolidierte Textfassung, kein amtliches Inkrafttretensdatum)</w:t>
      </w:r>
    </w:p>
    <w:p>
      <w:r>
        <w:t xml:space="preserve">(1) Abweichend von § 6 Absatz 1 Satz 1 und 2 kann der Fonds Garantien nach § 6 Absatz 1 für Schuldtitel übernehmen, welche von Zweckgesellschaften nach dem 1. Januar 2015 nachweislich ausschließlich als Gegenleistung für die Übernahme von Wertpapieren und damit verbundenen Absicherungsgeschäften an Kreditinstitute, Finanzholding-Gesellschaften oder deren in- und ausländische Tochterunternehmen (übertragende Unternehmen) begeben werden; die Laufzeiten der Garantien richten sich nach der Laufzeit der von den Zweckgesellschaften begebenen Schuldtitel. Diese Garantien gelten als nachrangig im Sinne des § 39 Absatz 2 der Insolvenzordnung.</w:t>
      </w:r>
    </w:p>
    <w:p>
      <w:r>
        <w:t xml:space="preserve">(2) Eine Garantieübernahme nach Absatz 1 setzt voraus, dass</w:t>
      </w:r>
    </w:p>
    <w:p>
      <w:pPr>
        <w:ind w:left="420"/>
      </w:pPr>
      <w:r>
        <w:t xml:space="preserve">1. das übertragende Unternehmen die Wertpapiere nicht nach dem 31. Mai 2014 erworben hat,</w:t>
      </w:r>
    </w:p>
    <w:p>
      <w:pPr>
        <w:ind w:left="420"/>
      </w:pPr>
      <w:r>
        <w:t xml:space="preserve">2. die Wertpapiere von dem übertragenden Unternehmen zu 90 Prozent des Buchwertes vom 31. Dezember 2013, zu 90 Prozent des Buchwertes vom 31. Mai 2014 oder zum tatsächlichen wirtschaftlichen Wert, je nachdem welcher dieser Werte der höchste ist, auf die Zweckgesellschaft übertragen werden. Der Übertragungswert darf den Buchwert vom 31. Mai 2014 nicht übersteigen. Die Buchwerte ergeben sich aus dem geprüften Jahresabschluss zum entsprechenden Stichtag; andernfalls gilt der nach den für den Jahresabschluss geltenden Vorschriften ermittelte Buchwert, der von einem Abschlussprüfer zu bestätigen ist. Der Abschlag vom Buchwert gemäß Satz 1 muss nur in der Höhe vorgenommen werden, in der das übertragende Unternehmen eine Kernkapitalquote von mindestens 7 Prozent einhalten kann,</w:t>
      </w:r>
    </w:p>
    <w:p>
      <w:pPr>
        <w:ind w:left="420"/>
      </w:pPr>
      <w:r>
        <w:t xml:space="preserve">3. das übertragende Unternehmen den aktuellen beizulegenden Zeitwert als den tatsächlichen wirtschaftlichen Wert der Wertpapiere ermittelt. Die Bewertung ist durch einen vom Fonds benannten sachverständigen Dritten zu prüfen und durch die Bankenaufsicht zu bestätigen,</w:t>
      </w:r>
    </w:p>
    <w:p>
      <w:pPr>
        <w:ind w:left="420"/>
      </w:pPr>
      <w:r>
        <w:t xml:space="preserve">4. das Kreditinstitut und die Finanzholding-Gesellschaft ihren Sitz bereits zum 31. Mai 2014 im Inland hatten und die Zweckgesellschaft ihren Sitz im Inland hat, ausschließlich für das übertragende Unternehmen gegründet wurde und ausschließlich Wertpapiere des übertragenden Unternehmens verwaltet,</w:t>
      </w:r>
    </w:p>
    <w:p>
      <w:pPr>
        <w:ind w:left="420"/>
      </w:pPr>
      <w:r>
        <w:t xml:space="preserve">5. die vertragliche Laufzeit des am längsten laufenden Wertpapiers die Laufzeit der Garantie nicht übersteigt und</w:t>
      </w:r>
    </w:p>
    <w:p>
      <w:pPr>
        <w:ind w:left="420"/>
      </w:pPr>
      <w:r>
        <w:t xml:space="preserve">6. die Schuldtitel nach Absatz 1 nicht handelbar sind.</w:t>
      </w:r>
    </w:p>
    <w:p>
      <w:r>
        <w:t xml:space="preserve">(3) Der nach Absatz 2 Nummer 3 ermittelte tatsächliche wirtschaftliche Wert ist um einen angemessenen Abschlag für weitere Risiken, die sich bis zum Ende der Laufzeit der Wertpapiere im konkreten Portfolio noch realisieren könnten, zu mindern. Die Höhe des Abschlags bestimmt der Fonds im Einzelfall. Der sich danach ergebende Wert ist der Fundamentalwert.</w:t>
      </w:r>
    </w:p>
    <w:p>
      <w:r>
        <w:t xml:space="preserve">(4) Über eine Garantieübernahme nach Absatz 1 entscheidet das Bundesministerium der Finanzen nach Anhörung der Finanzagentur auf Antrag des übertragenden Unternehmens. § 4 Absatz 1 ist entsprechend anzuwenden. Der Antrag muss auch die Gründungsdokumentation der Zweckgesellschaft enthalten.</w:t>
      </w:r>
    </w:p>
    <w:p>
      <w:r>
        <w:t xml:space="preserve">(5) Die näheren Bedingungen für eine Garantie nach Absatz 1 legt der Fonds im Einzelfall nach folgenden Maßgaben fest:</w:t>
      </w:r>
    </w:p>
    <w:p>
      <w:pPr>
        <w:ind w:left="420"/>
      </w:pPr>
      <w:r>
        <w:t xml:space="preserve">1. Die übertragenden Unternehmen müssen vor einer Übertragung auf die Zweckgesellschaft sämtliche Risiken bezüglich der zu übertragenden Wertpapiere gegenüber dem Fonds, dem sachverständigen Dritten und der Bankenaufsicht vollständig offenlegen. Übertragende Unternehmen müssen vor einer Übertragung zur Überprüfung ihrer Verlustanfälligkeit auf Grundlage der Vorgaben des Fonds Stresstests für die jeweils wesentlichen Risiken durchführen. Ziel dieser Stresstests ist die Ermittlung eines etwaigen Handlungsbedarfs bei dem übertragenden Unternehmen, insbesondere im Hinblick auf Risikosteuerung, auf ausreichende Risikovorsorge für konjunkturelle Entwicklungen oder Geschäftspolitik. Die Ergebnisse der Stresstests werden nicht veröffentlicht. Ist das übertragende Unternehmen eine Tochtergesellschaft, trifft die Pflicht zur Durchführung von Stresstests das Mutterunternehmen.</w:t>
      </w:r>
    </w:p>
    <w:p>
      <w:pPr>
        <w:ind w:left="420"/>
      </w:pPr>
      <w:r>
        <w:t xml:space="preserve">2. Der Fonds muss eine marktgerechte Vergütung für die Garantie erhalten. Die Vergütung besteht grundsätzlich aus einem individuellen Prozentsatz des Höchstbetrags der zur Verfügung gestellten Garantie, der das Ausfallrisiko aus der Inanspruchnahme der Garantie abbildet, und einer Marge. Bei der Berechnung der Vergütung ist auch der Zinsvorteil, der sich für das übertragende Unternehmen aus der Zahlungsstreckung der Differenz zwischen dem gemäß Absatz 2 Nummer 2 ermittelten Übertragungswert und dem Fundamentalwert ergibt, zu berücksichtigen. Die Vergütung kann ganz oder teilweise durch Ausgabe von Kapitalanteilen des übertragenden Unternehmens oder des beliehenen Trägers im Sinne von § 2 Absatz 1 Satz 2 an den Fonds geleistet werden.</w:t>
      </w:r>
    </w:p>
    <w:p>
      <w:pPr>
        <w:ind w:left="420"/>
      </w:pPr>
      <w:r>
        <w:t xml:space="preserve">3. Die Garantie wird grundsätzlich auf erstes Anfordern in banküblicher Form gestellt. Sie erstreckt sich sowohl auf den Kapitalbetrag als auch auf die Zinsen und alle sonstigen, den Gläubigern im Zusammenhang mit ihrer Forderung zustehenden Beträge und wird grundsätzlich in Euro ausgestellt. Währungsrisiken aus Garantiegewährungen in anderer Währung hat der Fonds abzusichern. Die Kosten dieser Absicherung hat das übertragende Unternehmen zu tragen.</w:t>
      </w:r>
    </w:p>
    <w:p>
      <w:pPr>
        <w:ind w:left="420"/>
      </w:pPr>
      <w:r>
        <w:t xml:space="preserve">4. Die Übernahme einer Garantie setzt ein tragfähiges Geschäftsmodell sowie grundsätzlich eine im Einzelfall angemessene Kapitalausstattung des übertragenden Unternehmens voraus.</w:t>
      </w:r>
    </w:p>
    <w:p>
      <w:pPr>
        <w:ind w:left="420"/>
      </w:pPr>
      <w:r>
        <w:t xml:space="preserve">5. Der Fonds kann verlangen, dass die Verwaltung der ausgelagerten Wertpapiere nicht durch das übertragende Unternehmen, sondern durch Dritte erfolgt. Der Fonds kann Anweisungen geben im Hinblick auf die Verwaltung und Verwertung der übertragenen Wertpapiere. Erfolgt die Verwaltung durch das übertragende Unternehmen, so ist eine funktionelle und organisatorische Trennung vom übrigen Geschäft des übertragenden Unternehmens sicherzustellen.</w:t>
      </w:r>
    </w:p>
    <w:p>
      <w:pPr>
        <w:ind w:left="420"/>
      </w:pPr>
      <w:r>
        <w:t xml:space="preserve">6. Die Obergrenze für die Garantieübernahme, bezogen auf ein einzelnes übertragendes Unternehmen und seine verbundenen Unternehmen, orientiert sich an der Summe der risikogewichteten Aktiva des übertragenden Unternehmens und dem dem Fonds für Garantien zur Verfügung stehenden freien Ermächtigungsrahmen.</w:t>
      </w:r>
    </w:p>
    <w:p>
      <w:r>
        <w:t xml:space="preserve">(6) § 6 Absatz 2 und 3 dieses Gesetzes, §§ 16 und 20 des Wirtschaftsstabilisierungsbeschleunigungsgesetzes sowie § 5 Absatz 2 und 5 bis 9 der Finanzmarktstabilisierungsfonds-Verordnung in der am 1. Januar 2015 geltenden Fassung gelten für die Garantiegewährung nach Absatz 1 entsprechend. § 5 Absatz 2 Nummer 5 der Finanzmarktstabilisierungsfonds-Verordnung findet jedoch vorbehaltlich der Zahlung der Ausgleichsbeträge nach den §§ 6b und 6c auf Dividenden und Gewinnausschüttungen an die Anteilseigner keine Anwendung.</w:t>
      </w:r>
    </w:p>
    <w:p>
      <w:r>
        <w:rPr>
          <w:color w:val="555555"/>
          <w:sz w:val="17"/>
        </w:rPr>
        <w:t xml:space="preserve">Zitiervorschlag: § 6a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