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3f FMStFG — Verordnungsermächtigung</w:t>
      </w:r>
    </w:p>
    <w:p>
      <w:r>
        <w:rPr>
          <w:color w:val="555555"/>
          <w:sz w:val="18"/>
        </w:rPr>
        <w:t xml:space="preserve">Stabilisierungsfondsgesetz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Bundesministerium der Finanzen wird ermächtigt, durch Rechtsverordnung ohne Zustimmung des Bundesrates nähere Bestimmungen zu erlassen über</w:t>
      </w:r>
    </w:p>
    <w:p>
      <w:pPr>
        <w:ind w:left="420"/>
      </w:pPr>
      <w:r>
        <w:t xml:space="preserve">1. Kostenerstattung und Kostenerstattungsverfahren sowie die Zahlungspflichtigen nach § 3e;</w:t>
      </w:r>
    </w:p>
    <w:p>
      <w:pPr>
        <w:ind w:left="420"/>
      </w:pPr>
      <w:r>
        <w:t xml:space="preserve">2. sonstige Regelungen, die zur Sicherstellung des Zwecks dieses Gesetzes nach Maßgabe der §§ 3d und 3e erforderlich sind.</w:t>
      </w:r>
    </w:p>
    <w:p>
      <w:r>
        <w:t xml:space="preserve">(2) In der nach Absatz 1 erlassenen Rechtsverordnung kann bestimmt werden, dass sie auch auf die bei ihrem Inkrafttreten anhängigen Verwaltungsverfahren anzuwenden ist, soweit zu diesem Zeitpunkt die Kostenerstattung nicht bereits festgesetzt ist.</w:t>
      </w:r>
    </w:p>
    <w:p>
      <w:r>
        <w:rPr>
          <w:color w:val="555555"/>
          <w:sz w:val="17"/>
        </w:rPr>
        <w:t xml:space="preserve">Zitiervorschlag: § 3f FMStFG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https://recht.nulegal.eu/gesetze/FMStFG/3f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