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FMStFG — Steuern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Sofern Abspaltungen nach § 15 Absatz 1 des Umwandlungssteuergesetzes eine notwendige Vorbereitung von Stabilisierungsmaßnahmen nach den §§ 21 und 22 darstellen, ist § 15 Absatz 3 des Umwandlungssteuergesetzes nicht anzuwenden. Verrechenbare Verluste, verbleibende Verlustvorträge, nicht ausgeglichene negative Einkünfte und ein Zinsvortrag nach § 4h Absatz 1 Satz 5 des Einkommensteuergesetzes und ein EBITDA-Vortrag nach § 4h Absatz 1 Satz 3 des Einkommensteuergesetzes verbleiben bei der übertragenden Körperschaft.</w:t>
      </w:r>
    </w:p>
    <w:p>
      <w:r>
        <w:t xml:space="preserve">(2) § 14 Absatz 1, 2 und 3 Satz 1 und Absatz 4 gilt entsprechend.</w:t>
      </w:r>
    </w:p>
    <w:p>
      <w:r>
        <w:t xml:space="preserve">(3) Die Absätze 1 und 2 gelten für durch andere inländische Gebietskörperschaften errichtete, mit dem Wirtschaftsstabilisierungsfonds vergleichbare Einrichtungen und deren Stabilisierungsmaßnahmen entsprechend.</w:t>
      </w:r>
    </w:p>
    <w:p>
      <w:r>
        <w:rPr>
          <w:color w:val="555555"/>
          <w:sz w:val="17"/>
        </w:rPr>
        <w:t xml:space="preserve">Zitiervorschlag: § 27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