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26g FMStFG — Befristung; Verordnungsermächtigung</w:t>
      </w:r>
    </w:p>
    <w:p>
      <w:r>
        <w:rPr>
          <w:color w:val="555555"/>
          <w:sz w:val="18"/>
        </w:rPr>
        <w:t xml:space="preserve">Stabilisierungsfondsgesetz</w:t>
      </w:r>
    </w:p>
    <w:p>
      <w:r>
        <w:rPr>
          <w:color w:val="555555"/>
          <w:sz w:val="18"/>
        </w:rPr>
        <w:t xml:space="preserve">Stand: 29.12.2023 (konsolidierte Textfassung, kein amtliches Inkrafttretensdatum)</w:t>
      </w:r>
    </w:p>
    <w:p>
      <w:r>
        <w:t xml:space="preserve">(1) Maßnahmen des Wirtschaftsstabilisierungsfonds nach § 26a Absatz 1 Satz 1 Nummer 1 bis 4 sind bis zum Ablauf des 31. Dezember 2023 möglich.</w:t>
      </w:r>
    </w:p>
    <w:p>
      <w:r>
        <w:t xml:space="preserve">(2) Der Wirtschaftsstabilisierungsfonds wird im Hinblick auf den mit diesem Gesetz in Abschnitt 2 Teil 3 errichteten Teil zur Abfederung der Folgen der Energiekrise mit Ablauf des Jahres 2023 aufgelöst. Der Bund tritt insoweit in die Rechte und Pflichten des Fonds ein. Die Verbindlichkeiten und das Vermögen dieses Teils des Wirtschaftsstabilisierungsfonds gehen auf den Bund über.</w:t>
      </w:r>
    </w:p>
    <w:p>
      <w:r>
        <w:t xml:space="preserve">(3) Die Einzelheiten der Abwicklung und Auflösung des in Abschnitt 2 Teil 3 errichteten Teils des Wirtschaftsstabilisierungsfonds kann die Bundesregierung durch Rechtsverordnung ohne Zustimmung des Bundesrates bestimmen. Die Verordnung bedarf der Zustimmung des Bundestages. Die Zustimmung gilt als erteilt, wenn der Bundestag nicht innerhalb von drei Sitzungswochen nach Eingang der Vorlage der Bundesregierung die Zustimmung verweigert hat.</w:t>
      </w:r>
    </w:p>
    <w:p>
      <w:r>
        <w:t xml:space="preserve">(4) § 13 Absatz 5 gilt entsprechend.</w:t>
      </w:r>
    </w:p>
    <w:p>
      <w:r>
        <w:rPr>
          <w:color w:val="555555"/>
          <w:sz w:val="17"/>
        </w:rPr>
        <w:t xml:space="preserve">Zitiervorschlag: § 26g FMStFG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https://recht.nulegal.eu/gesetze/FMStFG/26g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