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FMStFG — Zweck des Fonds</w:t>
      </w:r>
    </w:p>
    <w:p>
      <w:r>
        <w:rPr>
          <w:color w:val="555555"/>
          <w:sz w:val="18"/>
        </w:rPr>
        <w:t xml:space="preserve">Stabilisierungsfondsgesetz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Fonds dient der Stabilisierung des Finanzmarktes durch Überwindung von Liquiditätsengpässen und durch Schaffung der Rahmenbedingungen für eine Stärkung der Eigenkapitalbasis von Unternehmen im Sinne des § 2 des Restrukturierungsfondsgesetzes in der bis zum 31. Dezember 2014 geltenden Fassung (Unternehmen des Finanzsektors). Kreditinstitute, die gemäß § 5 Absatz 1 Nummer 2 des Körperschaftsteuergesetzes in der bis zum 31. Dezember 2014 geltenden Fassung von der Körperschaftsteuer befreit sind, und Brückeninstitute im Sinne des § 5 Absatz 1 des Restrukturierungsfondsgesetzes in der bis zum 31. Dezember 2014 geltenden Fassung sind keine Unternehmen des Finanzsektors im Sinne des Satzes 1.</w:t>
      </w:r>
    </w:p>
    <w:p>
      <w:r>
        <w:t xml:space="preserve">(2) Der Fonds ist ein Sondervermögen im Sinne des Artikels 110 Absatz 1 des Grundgesetzes.</w:t>
      </w:r>
    </w:p>
    <w:p>
      <w:r>
        <w:rPr>
          <w:color w:val="555555"/>
          <w:sz w:val="17"/>
        </w:rPr>
        <w:t xml:space="preserve">Zitiervorschlag: § 2 FMStFG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https://recht.nulegal.eu/gesetze/FMStFG/2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