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FMStFG — Institutioneller Rahmen; Verordnungsermächtigung</w:t>
      </w:r>
    </w:p>
    <w:p>
      <w:r>
        <w:rPr>
          <w:color w:val="555555"/>
          <w:sz w:val="18"/>
        </w:rPr>
        <w:t xml:space="preserve">Stabilisierungsfondsgesetz</w:t>
      </w:r>
    </w:p>
    <w:p>
      <w:r>
        <w:rPr>
          <w:color w:val="555555"/>
          <w:sz w:val="18"/>
        </w:rPr>
        <w:t xml:space="preserve">Stand: 04.11.2022 (konsolidierte Textfassung, kein amtliches Inkrafttretensdatum)</w:t>
      </w:r>
    </w:p>
    <w:p>
      <w:r>
        <w:t xml:space="preserve">(1) Die Verwaltung des Wirtschaftsstabilisierungsfonds mit Ausnahme der Entscheidungen über Stabilisierungsmaßnahmen nach § 20 Absatz 1 und der Wahrnehmung der Aufgaben nach § 20 Absatz 3 obliegt der Finanzagentur. Die Finanzagentur nimmt die Aufgaben im Zusammenhang mit der Verwaltung des Wirtschaftsstabilisierungsfonds, auch im Namen des Wirtschaftsstabilisierungsfonds, als eigene wahr. Die Finanzagentur untersteht hinsichtlich der Wahrnehmung der Aufgaben nach den Sätzen 1 und 2 der Rechts- und Fachaufsicht des Bundesministeriums der Finanzen. Die Fachaufsicht in Bezug auf die Entscheidungen über Stabilisierungsmaßnahmen nach § 20 wird vom Bundesministerium der Finanzen im Einvernehmen mit dem Bundesministerium für Wirtschaft und Klimaschutz ausgeübt. Das Bundesministerium für Wirtschaft und Klimaschutz ist der Ansprechpartner für die Unternehmen.</w:t>
      </w:r>
    </w:p>
    <w:p>
      <w:r>
        <w:t xml:space="preserve">(2) Das Bundesministerium der Finanzen kann im Einvernehmen mit dem Bundesministerium für Wirtschaft und Klimaschutz Aufgaben und Befugnisse der Finanzagentur nach diesem Abschnitt vorübergehend selbst wahrnehmen oder auf einen geeigneten Dritten übertragen. Absatz 1 Satz 2 und 3 gilt entsprechend.</w:t>
      </w:r>
    </w:p>
    <w:p>
      <w:r>
        <w:t xml:space="preserve">(3) Die Finanzagentur kann sich nach Maßgabe einer nach § 20 Absatz 6 erlassenen Rechtsverordnung bei der Erfüllung ihrer Aufgaben nach diesem Abschnitt geeigneter Dritter bedienen.</w:t>
      </w:r>
    </w:p>
    <w:p>
      <w:r>
        <w:t xml:space="preserve">(4) § 3a Absatz 6a und § 3b Absatz 1 bis 3 gelten entsprechend. Soweit durch andere inländische Gebietskörperschaften errichtete, mit dem Wirtschaftsstabilisierungsfonds vergleichbare Einrichtungen durch eine Finanzagentur nach dem Recht der inländischen Gebietskörperschaft vertreten und deren Aufgaben durch diese Finanzagentur wahrgenommen werden, gelten § 3a Absatz 6a Satz 1 und 2 für die nach dem Recht der inländischen Gebietskörperschaft errichtete Finanzagentur entsprechend.</w:t>
      </w:r>
    </w:p>
    <w:p>
      <w:r>
        <w:rPr>
          <w:color w:val="555555"/>
          <w:sz w:val="17"/>
        </w:rPr>
        <w:t xml:space="preserve">Zitiervorschlag: § 18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