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FMStFG — Haushalts- und Vermögensrechnung und parlamentarische Unterrichtung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Das Bundesministerium der Finanzen stellt am Schluss eines jeden Rechnungsjahres die Haushalts- und Vermögensrechnung für den Fonds auf.</w:t>
      </w:r>
    </w:p>
    <w:p>
      <w:r>
        <w:t xml:space="preserve">(2) Die Haushalts- und Vermögensrechnung muss in übersichtlicher Weise den Bestand des Fonds einschließlich der Forderungen und Verbindlichkeiten erkennen lassen sowie die Einnahmen und Ausgaben nachweisen.</w:t>
      </w:r>
    </w:p>
    <w:p>
      <w:r>
        <w:t xml:space="preserve">(3) Ein Haushalts- oder Wirtschaftsplan wird nicht aufgestellt. Der Haushaltsausschuss und der Finanzausschuss des Deutschen Bundstages sind regelmäßig über den aktuellen Sachstand zu unterrichten. Das Gremium nach § 10a dieses Gesetzes ist in allen Fällen von wesentlicher Bedeutung unverzüglich zu unterrichten.</w:t>
      </w:r>
    </w:p>
    <w:p>
      <w:r>
        <w:rPr>
          <w:color w:val="555555"/>
          <w:sz w:val="17"/>
        </w:rPr>
        <w:t xml:space="preserve">Zitiervorschlag: § 11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