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FMStFG — Parlamentarische Kontrolle</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(weggefallen)</w:t>
      </w:r>
    </w:p>
    <w:p>
      <w:r>
        <w:t xml:space="preserve">(2) Das Gremium nach § 3 des Bundesschuldenwesengesetzes (Gremium) wird vom Bundesministerium der Finanzen laufend über alle den Fonds betreffenden Fragen unterrichtet. Es ist befugt, Mitglieder des Lenkungsausschusses sowie Vertreter der Geschäftsführung der Finanzagentur und der Organe eines von einer Maßnahme des Fonds begünstigten Unternehmens zu laden. Die Vertreter der Geschäftsführung der Finanzagentur und der Organe eines von der Maßnahme des Fonds begünstigten Unternehmens sind zur Auskunft vor dem Gremium berechtigt und verpflichtet. Das Gremium berät ferner über grundsätzliche und strategische Fragen und langfristige Entwicklungen der Finanzmarktpolitik.</w:t>
      </w:r>
    </w:p>
    <w:p>
      <w:r>
        <w:t xml:space="preserve">(3) Das Gremium tagt geheim. Die Mitglieder des Gremiums sind zur Geheimhaltung aller Angelegenheiten verpflichtet, die ihnen bei ihrer Tätigkeit bekannt geworden sind. Dies gilt für alle Teilnehmerinnen und Teilnehmer der Sitzungen. § 3 Absatz 2 Satz 2 und 3 des Bundesschuldenwesengesetzes gilt entsprechend.</w:t>
      </w:r>
    </w:p>
    <w:p>
      <w:r>
        <w:rPr>
          <w:color w:val="555555"/>
          <w:sz w:val="17"/>
        </w:rPr>
        <w:t xml:space="preserve">Zitiervorschlag: § 10a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