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9b FMStBG — GmbH &amp; Co. KG und KG</w:t>
      </w:r>
    </w:p>
    <w:p>
      <w:r>
        <w:rPr>
          <w:color w:val="555555"/>
          <w:sz w:val="18"/>
        </w:rPr>
        <w:t xml:space="preserve">Wirtschaftsstabilisierungsbeschleunigungsgesetz</w:t>
      </w:r>
    </w:p>
    <w:p>
      <w:r>
        <w:rPr>
          <w:color w:val="555555"/>
          <w:sz w:val="18"/>
        </w:rPr>
        <w:t xml:space="preserve">Stand: 05.04.2020 (konsolidierte Textfassung, kein amtliches Inkrafttretensdatum)</w:t>
      </w:r>
    </w:p>
    <w:p>
      <w:r>
        <w:t xml:space="preserve">Für Beschlüsse von Unternehmen der Realwirtschaft, die als GmbH &amp; Co. KG oder KG über die Aufnahme des Wirtschaftsstabilisierungsfonds als Kommanditist entscheiden, genügt die einfache Mehrheit der am Beschluss teilnehmenden Gesellschafter.</w:t>
      </w:r>
    </w:p>
    <w:p>
      <w:r>
        <w:rPr>
          <w:color w:val="555555"/>
          <w:sz w:val="17"/>
        </w:rPr>
        <w:t xml:space="preserve">Zitiervorschlag: § 9b FMStBG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https://recht.nulegal.eu/gesetze/FMStBG/9b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