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FMStBG — Sinngemäße Anwendung bei Kommanditgesellschaften auf Aktien, Europäischen Gesellschaften (SE) und Genossenschaften</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(1) Für Unternehmen, die in der Rechtsform der Kommanditgesellschaft auf Aktien oder der Europäischen Gesellschaft (SE) verfasst sind, gelten die §§ 5 bis 8 sinngemäß.</w:t>
      </w:r>
    </w:p>
    <w:p>
      <w:r>
        <w:t xml:space="preserve">(2) Der Fonds kann Mitglied von Unternehmen werden, die in der Rechtsform der Genossenschaft verfasst sind. Satzungsänderungen von Genossenschaften, deren Zweck darin besteht, eine Kapitalverstärkung durch den Fonds herbeizuführen, sind unverzüglich zur Eintragung in das Genossenschaftsregister anzumelden und unverzüglich einzutragen, sofern der zugrundeliegende Beschluss nicht offensichtlich nichtig ist.</w:t>
      </w:r>
    </w:p>
    <w:p>
      <w:r>
        <w:rPr>
          <w:color w:val="555555"/>
          <w:sz w:val="17"/>
        </w:rPr>
        <w:t xml:space="preserve">Zitiervorschlag: § 9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