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7f FMStBG — Zusammenhang mit Stabilisierungsmaßnahmen</w:t>
      </w:r>
    </w:p>
    <w:p>
      <w:r>
        <w:rPr>
          <w:color w:val="555555"/>
          <w:sz w:val="18"/>
        </w:rPr>
        <w:t xml:space="preserve">Wirtschaftsstabilisierungsbeschleunigungsgesetz</w:t>
      </w:r>
    </w:p>
    <w:p>
      <w:r>
        <w:rPr>
          <w:color w:val="555555"/>
          <w:sz w:val="18"/>
        </w:rPr>
        <w:t xml:space="preserve">Stand: 05.04.2020 (konsolidierte Textfassung, kein amtliches Inkrafttretensdatum)</w:t>
      </w:r>
    </w:p>
    <w:p>
      <w:r>
        <w:t xml:space="preserve">(1) Ein Zusammenhang mit der Stabilisierung, einer Rekapitalisierung oder einer anderen Stabilisierungsmaßnahme im Sinne der §§ 7 bis 7b und 7e besteht auch dann, wenn Beschlüsse der Hauptversammlung des Unternehmens, insbesondere über Kapitalmaßnahmen oder die Ermächtigung des Vorstands zu deren Vornahme, dem Zweck dienen,</w:t>
      </w:r>
    </w:p>
    <w:p>
      <w:pPr>
        <w:ind w:left="420"/>
      </w:pPr>
      <w:r>
        <w:t xml:space="preserve">1. eine von dem Fonds im Zuge einer solchen Maßnahme bereits erworbene Beteiligung an dem Unternehmen ganz oder teilweise zu übertragen oder zu veräußern oder zu erhöhen. Für die Erhöhung der Beteiligung gilt dies nur solange, wie nach dem Stabilisierungsfondsgesetz durch den Fonds Stabilisierungsmaßnahmen gewährt werden dürfen,</w:t>
      </w:r>
    </w:p>
    <w:p>
      <w:pPr>
        <w:ind w:left="420"/>
      </w:pPr>
      <w:r>
        <w:t xml:space="preserve">2. die Bedingungen der Beteiligung des Fonds zu ändern,</w:t>
      </w:r>
    </w:p>
    <w:p>
      <w:pPr>
        <w:ind w:left="420"/>
      </w:pPr>
      <w:r>
        <w:t xml:space="preserve">3. die Beteiligung des Fonds oder von Dritten nach § 10 Absatz 1 als Einlage in das Unternehmen einzubringen, insbesondere gegen Ausgabe von Aktien oder Wandelschuldverschreibungen,</w:t>
      </w:r>
    </w:p>
    <w:p>
      <w:pPr>
        <w:ind w:left="420"/>
      </w:pPr>
      <w:r>
        <w:t xml:space="preserve">4. die Beteiligung des Fonds in vergleichbarer Weise umzustrukturieren, insbesondere aufzuteilen oder als Wertpapier auszugestalten,</w:t>
      </w:r>
    </w:p>
    <w:p>
      <w:pPr>
        <w:ind w:left="420"/>
      </w:pPr>
      <w:r>
        <w:t xml:space="preserve">5. dem Fonds erstmalig oder zusätzliche Umtausch- und Bezugsrechte einzuräumen und bedingtes Kapital für die Erfüllung der dadurch entstehenden Ansprüche zu schaffen oder</w:t>
      </w:r>
    </w:p>
    <w:p>
      <w:pPr>
        <w:ind w:left="420"/>
      </w:pPr>
      <w:r>
        <w:t xml:space="preserve">6. Kapitalerhöhungen gegen Einlagen für die Einhaltung von Eigenmittelanforderungen bei Unternehmen des Finanzsektors nach § 2 des Stabilisierungsfondsgesetzes oder für die Einhaltung der finanziellen Bedingungen eines Luftfahrtunternehmens der Gemeinschaft gemäß Artikel 5 der Verordnung (EG) Nr. 1008/2008 des Europäischen Parlaments und des Rates vom 24. September 2008 über gemeinsame Vorschriften für die Durchführung von Luftverkehrsdiensten in der Gemeinschaft (ABl. L 293 vom 31.10.2018, S. 3) durchzuführen.</w:t>
      </w:r>
    </w:p>
    <w:p>
      <w:r>
        <w:t xml:space="preserve">(2) Dasselbe gilt, wenn der Beschluss der Hauptversammlung eine Vereinbarung mit dem Fonds oder eine Erklärung der Geschäftsführung des Unternehmens vorsieht, die aus einer Kapitalmaßnahme dem Unternehmen zufließenden Mittel überwiegend für eine Rückzahlung von dem Unternehmen durch den Fonds zur Verfügung gestelltem Kapital zu verwenden.</w:t>
      </w:r>
    </w:p>
    <w:p>
      <w:r>
        <w:rPr>
          <w:color w:val="555555"/>
          <w:sz w:val="17"/>
        </w:rPr>
        <w:t xml:space="preserve">Zitiervorschlag: § 7f FMStBG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https://recht.nulegal.eu/gesetze/FMStBG/7f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