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7e FMStBG — Kapitalmaßnahmen durch Dritte im Zusammenhang mit einer Stabilisierungsmaßnahme</w:t>
      </w:r>
    </w:p>
    <w:p>
      <w:r>
        <w:rPr>
          <w:color w:val="555555"/>
          <w:sz w:val="18"/>
        </w:rPr>
        <w:t xml:space="preserve">Wirtschaftsstabilisierungsbeschleunigungsgesetz</w:t>
      </w:r>
    </w:p>
    <w:p>
      <w:r>
        <w:rPr>
          <w:color w:val="555555"/>
          <w:sz w:val="18"/>
        </w:rPr>
        <w:t xml:space="preserve">Stand: 05.04.2020 (konsolidierte Textfassung, kein amtliches Inkrafttretensdatum)</w:t>
      </w:r>
    </w:p>
    <w:p>
      <w:r>
        <w:t xml:space="preserve">Die §§ 7 bis 7d gelten entsprechend für Kapitalmaßnahmen, insbesondere die Ausgabe neuer Aktien gegen Hingabe von Einlagen aus von dem Fonds eingegangenen stillen Gesellschaften oder zur Beschaffung von Mitteln zum Zweck der Rückgewähr solcher Einlagen, im Zusammenhang mit einer Stabilisierungsmaßnahme nach den §§ 6 bis 8, 21, 22 des Stabilisierungsfondsgesetzes, wenn die neuen Aktien aus der Kapitalmaßnahme auch oder ausschließlich durch Dritte gezeichnet werden. Dies gilt insbesondere, wenn durch die Kapitalmaßnahmen die Voraussetzung für eine Maßnahme nach § 6 oder § 21 des Stabilisierungsfondsgesetzes geschaffen werden soll.</w:t>
      </w:r>
    </w:p>
    <w:p>
      <w:r>
        <w:rPr>
          <w:color w:val="555555"/>
          <w:sz w:val="17"/>
        </w:rPr>
        <w:t xml:space="preserve">Zitiervorschlag: § 7e FMStBG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https://recht.nulegal.eu/gesetze/FMStBG/7e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